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9F" w:rsidRPr="002A048B" w:rsidRDefault="00D6169F" w:rsidP="002A048B">
      <w:pPr>
        <w:pBdr>
          <w:bottom w:val="single" w:sz="4" w:space="1" w:color="auto"/>
        </w:pBdr>
        <w:spacing w:before="0" w:after="0" w:line="240" w:lineRule="auto"/>
        <w:jc w:val="center"/>
        <w:rPr>
          <w:rFonts w:ascii="Tahoma" w:hAnsi="Tahoma" w:cs="Tahoma"/>
          <w:b/>
          <w:bCs/>
          <w:lang w:val="id-ID"/>
        </w:rPr>
      </w:pPr>
      <w:r w:rsidRPr="002A048B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8DE21" wp14:editId="391E4240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02335" id="Oval 1" o:spid="_x0000_s1026" style="position:absolute;margin-left:442.2pt;margin-top:60pt;width:11.5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2A048B">
        <w:rPr>
          <w:rFonts w:ascii="Tahoma" w:hAnsi="Tahoma" w:cs="Tahoma"/>
          <w:b/>
          <w:bCs/>
          <w:lang w:val="en-ID"/>
        </w:rPr>
        <w:t>KOMPETENSI INTI DAN KOMPETENSI DASAR</w:t>
      </w:r>
    </w:p>
    <w:p w:rsidR="007C6047" w:rsidRPr="002A048B" w:rsidRDefault="007C6047" w:rsidP="002A048B">
      <w:pPr>
        <w:pBdr>
          <w:bottom w:val="single" w:sz="4" w:space="1" w:color="auto"/>
        </w:pBdr>
        <w:spacing w:before="0" w:after="0" w:line="240" w:lineRule="auto"/>
        <w:rPr>
          <w:rFonts w:ascii="Tahoma" w:hAnsi="Tahoma" w:cs="Tahoma"/>
          <w:b/>
          <w:bCs/>
          <w:lang w:val="id-ID"/>
        </w:rPr>
      </w:pPr>
    </w:p>
    <w:p w:rsidR="00D6169F" w:rsidRPr="002A048B" w:rsidRDefault="00D6169F" w:rsidP="002A048B">
      <w:pPr>
        <w:tabs>
          <w:tab w:val="left" w:pos="3402"/>
          <w:tab w:val="left" w:pos="4395"/>
        </w:tabs>
        <w:spacing w:before="0"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2A048B">
        <w:rPr>
          <w:rFonts w:ascii="Tahoma" w:hAnsi="Tahoma" w:cs="Tahoma"/>
          <w:lang w:val="en-ID"/>
        </w:rPr>
        <w:t>Bidang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Keahlian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r w:rsidRPr="002A048B">
        <w:rPr>
          <w:rFonts w:ascii="Tahoma" w:hAnsi="Tahoma" w:cs="Tahoma"/>
          <w:lang w:val="en-ID"/>
        </w:rPr>
        <w:tab/>
        <w:t xml:space="preserve">: </w:t>
      </w:r>
      <w:proofErr w:type="spellStart"/>
      <w:r w:rsidRPr="002A048B">
        <w:rPr>
          <w:rFonts w:ascii="Tahoma" w:hAnsi="Tahoma" w:cs="Tahoma"/>
          <w:lang w:val="en-ID"/>
        </w:rPr>
        <w:t>Teknologi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Rekayasa</w:t>
      </w:r>
      <w:proofErr w:type="spellEnd"/>
    </w:p>
    <w:p w:rsidR="002D3E08" w:rsidRPr="002A048B" w:rsidRDefault="00D6169F" w:rsidP="002A048B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2A048B">
        <w:rPr>
          <w:rFonts w:ascii="Tahoma" w:hAnsi="Tahoma" w:cs="Tahoma"/>
          <w:lang w:val="en-ID"/>
        </w:rPr>
        <w:t xml:space="preserve">Program </w:t>
      </w:r>
      <w:proofErr w:type="spellStart"/>
      <w:r w:rsidRPr="002A048B">
        <w:rPr>
          <w:rFonts w:ascii="Tahoma" w:hAnsi="Tahoma" w:cs="Tahoma"/>
          <w:lang w:val="en-ID"/>
        </w:rPr>
        <w:t>Keahlian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r w:rsidRPr="002A048B">
        <w:rPr>
          <w:rFonts w:ascii="Tahoma" w:hAnsi="Tahoma" w:cs="Tahoma"/>
          <w:lang w:val="en-ID"/>
        </w:rPr>
        <w:tab/>
        <w:t xml:space="preserve">: </w:t>
      </w:r>
      <w:r w:rsidR="002D3E08" w:rsidRPr="002A048B">
        <w:rPr>
          <w:rFonts w:ascii="Tahoma" w:hAnsi="Tahoma" w:cs="Tahoma"/>
          <w:lang w:val="id-ID"/>
        </w:rPr>
        <w:t>Teknik Instrumentas</w:t>
      </w:r>
    </w:p>
    <w:p w:rsidR="00D6169F" w:rsidRPr="002A048B" w:rsidRDefault="00D6169F" w:rsidP="002A048B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proofErr w:type="spellStart"/>
      <w:r w:rsidRPr="002A048B">
        <w:rPr>
          <w:rFonts w:ascii="Tahoma" w:hAnsi="Tahoma" w:cs="Tahoma"/>
          <w:bCs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lang w:val="en-ID"/>
        </w:rPr>
        <w:t>Keahlian</w:t>
      </w:r>
      <w:proofErr w:type="spellEnd"/>
      <w:r w:rsidRPr="002A048B">
        <w:rPr>
          <w:rFonts w:ascii="Tahoma" w:hAnsi="Tahoma" w:cs="Tahoma"/>
          <w:lang w:val="en-ID"/>
        </w:rPr>
        <w:tab/>
        <w:t xml:space="preserve">: </w:t>
      </w:r>
      <w:r w:rsidRPr="002A048B">
        <w:rPr>
          <w:rFonts w:ascii="Tahoma" w:hAnsi="Tahoma" w:cs="Tahoma"/>
          <w:lang w:val="id-ID"/>
        </w:rPr>
        <w:t>Teknik Instrumentasi Logam</w:t>
      </w:r>
    </w:p>
    <w:p w:rsidR="00D6169F" w:rsidRPr="002A048B" w:rsidRDefault="00D6169F" w:rsidP="002A048B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lang w:val="id-ID"/>
        </w:rPr>
      </w:pPr>
      <w:proofErr w:type="spellStart"/>
      <w:r w:rsidRPr="002A048B">
        <w:rPr>
          <w:rFonts w:ascii="Tahoma" w:hAnsi="Tahoma" w:cs="Tahoma"/>
          <w:lang w:val="en-ID"/>
        </w:rPr>
        <w:t>Kelompok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Kompetensi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r w:rsidRPr="002A048B">
        <w:rPr>
          <w:rFonts w:ascii="Tahoma" w:hAnsi="Tahoma" w:cs="Tahoma"/>
          <w:lang w:val="en-ID"/>
        </w:rPr>
        <w:tab/>
        <w:t xml:space="preserve">: </w:t>
      </w:r>
      <w:r w:rsidR="002D3E08" w:rsidRPr="002A048B">
        <w:rPr>
          <w:rFonts w:ascii="Tahoma" w:hAnsi="Tahoma" w:cs="Tahoma"/>
          <w:lang w:val="id-ID"/>
        </w:rPr>
        <w:t>Menggambar dengan Soft Ware Komputer</w:t>
      </w:r>
    </w:p>
    <w:p w:rsidR="00D6169F" w:rsidRPr="002A048B" w:rsidRDefault="00D6169F" w:rsidP="002A048B">
      <w:pPr>
        <w:pBdr>
          <w:top w:val="single" w:sz="4" w:space="1" w:color="auto"/>
        </w:pBd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</w:p>
    <w:p w:rsidR="00D6169F" w:rsidRPr="002A048B" w:rsidRDefault="00D6169F" w:rsidP="002A048B">
      <w:pPr>
        <w:pBdr>
          <w:top w:val="single" w:sz="4" w:space="1" w:color="auto"/>
        </w:pBd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Tujuan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kurikulum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mencakup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empat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(1)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spiritual, (2)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(3)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pengetahuan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(4)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keterampilan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.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Aspek-aspek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intrakurikuler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kokurikuler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ekstrakurikuler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>.</w:t>
      </w:r>
    </w:p>
    <w:p w:rsidR="00D6169F" w:rsidRPr="002A048B" w:rsidRDefault="00D6169F" w:rsidP="002A048B">
      <w:pP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spiritual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2A048B">
        <w:rPr>
          <w:rFonts w:ascii="Tahoma" w:hAnsi="Tahoma" w:cs="Tahoma"/>
          <w:lang w:val="en-ID"/>
        </w:rPr>
        <w:t>Menghayati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mengamalkan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ajaran</w:t>
      </w:r>
      <w:proofErr w:type="spellEnd"/>
      <w:r w:rsidRPr="002A048B">
        <w:rPr>
          <w:rFonts w:ascii="Tahoma" w:hAnsi="Tahoma" w:cs="Tahoma"/>
          <w:lang w:val="en-ID"/>
        </w:rPr>
        <w:t xml:space="preserve"> agama yang </w:t>
      </w:r>
      <w:proofErr w:type="spellStart"/>
      <w:r w:rsidRPr="002A048B">
        <w:rPr>
          <w:rFonts w:ascii="Tahoma" w:hAnsi="Tahoma" w:cs="Tahoma"/>
          <w:lang w:val="en-ID"/>
        </w:rPr>
        <w:t>dianutnya</w:t>
      </w:r>
      <w:proofErr w:type="spellEnd"/>
      <w:r w:rsidRPr="002A048B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Sedangkan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2A048B">
        <w:rPr>
          <w:rFonts w:ascii="Tahoma" w:hAnsi="Tahoma" w:cs="Tahoma"/>
          <w:lang w:val="en-ID"/>
        </w:rPr>
        <w:t>Menghayati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mengamalkan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perilaku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jujur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disiplin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santun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peduli</w:t>
      </w:r>
      <w:proofErr w:type="spellEnd"/>
      <w:r w:rsidRPr="002A048B">
        <w:rPr>
          <w:rFonts w:ascii="Tahoma" w:hAnsi="Tahoma" w:cs="Tahoma"/>
          <w:lang w:val="en-ID"/>
        </w:rPr>
        <w:t xml:space="preserve"> (</w:t>
      </w:r>
      <w:proofErr w:type="spellStart"/>
      <w:r w:rsidRPr="002A048B">
        <w:rPr>
          <w:rFonts w:ascii="Tahoma" w:hAnsi="Tahoma" w:cs="Tahoma"/>
          <w:lang w:val="en-ID"/>
        </w:rPr>
        <w:t>gotong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royong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kerja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sama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toleran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damai</w:t>
      </w:r>
      <w:proofErr w:type="spellEnd"/>
      <w:r w:rsidRPr="002A048B">
        <w:rPr>
          <w:rFonts w:ascii="Tahoma" w:hAnsi="Tahoma" w:cs="Tahoma"/>
          <w:lang w:val="en-ID"/>
        </w:rPr>
        <w:t xml:space="preserve">), </w:t>
      </w:r>
      <w:proofErr w:type="spellStart"/>
      <w:r w:rsidRPr="002A048B">
        <w:rPr>
          <w:rFonts w:ascii="Tahoma" w:hAnsi="Tahoma" w:cs="Tahoma"/>
          <w:lang w:val="en-ID"/>
        </w:rPr>
        <w:t>bertanggung-jawab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responsif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proaktif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melalui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keteladanan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pemberian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nasehat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penguatan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pembiasaan</w:t>
      </w:r>
      <w:proofErr w:type="spellEnd"/>
      <w:r w:rsidRPr="002A048B">
        <w:rPr>
          <w:rFonts w:ascii="Tahoma" w:hAnsi="Tahoma" w:cs="Tahoma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pengkondisian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secara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berkesinambungan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serta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menunjukkan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sikap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sebagai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bagian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dari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solusi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atas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berbagai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permasalahan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dalam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berinteraksi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secara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efektif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dengan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lingkungan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sosial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alam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serta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dalam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menempatkan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diri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sebagai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cerminan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bangsa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dalam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pergaulan</w:t>
      </w:r>
      <w:proofErr w:type="spellEnd"/>
      <w:r w:rsidRPr="002A048B">
        <w:rPr>
          <w:rFonts w:ascii="Tahoma" w:hAnsi="Tahoma" w:cs="Tahoma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lang w:val="en-ID"/>
        </w:rPr>
        <w:t>dunia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”.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Kedua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tidak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langsung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(</w:t>
      </w:r>
      <w:r w:rsidRPr="002A048B">
        <w:rPr>
          <w:rFonts w:ascii="Tahoma" w:hAnsi="Tahoma" w:cs="Tahoma"/>
          <w:bCs/>
          <w:i/>
          <w:color w:val="000000"/>
          <w:lang w:val="en-ID"/>
        </w:rPr>
        <w:t>indirect teaching</w:t>
      </w:r>
      <w:r w:rsidRPr="002A048B">
        <w:rPr>
          <w:rFonts w:ascii="Tahoma" w:hAnsi="Tahoma" w:cs="Tahoma"/>
          <w:bCs/>
          <w:color w:val="000000"/>
          <w:lang w:val="en-ID"/>
        </w:rPr>
        <w:t xml:space="preserve">)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keteladanan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pembiasaan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budaya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sekolah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dengan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memperhatikan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karakteristik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mata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pelajaran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serta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kebutuhan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kondisi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. </w:t>
      </w:r>
    </w:p>
    <w:p w:rsidR="00D6169F" w:rsidRPr="002A048B" w:rsidRDefault="00D6169F" w:rsidP="002A048B">
      <w:pPr>
        <w:spacing w:before="0" w:after="0" w:line="240" w:lineRule="auto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Penumbuhan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pengembangan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dilakukan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sepanjang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berlangsung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dapat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digunakan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sebagai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pertimbangan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guru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dalam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mengembangkan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karakter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lebih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2A048B">
        <w:rPr>
          <w:rFonts w:ascii="Tahoma" w:hAnsi="Tahoma" w:cs="Tahoma"/>
          <w:bCs/>
          <w:color w:val="000000"/>
          <w:lang w:val="en-ID"/>
        </w:rPr>
        <w:t>lanjut</w:t>
      </w:r>
      <w:proofErr w:type="spellEnd"/>
      <w:r w:rsidRPr="002A048B">
        <w:rPr>
          <w:rFonts w:ascii="Tahoma" w:hAnsi="Tahoma" w:cs="Tahoma"/>
          <w:bCs/>
          <w:color w:val="000000"/>
          <w:lang w:val="en-ID"/>
        </w:rPr>
        <w:t>.</w:t>
      </w:r>
    </w:p>
    <w:p w:rsidR="00D6169F" w:rsidRPr="002A048B" w:rsidRDefault="00D6169F" w:rsidP="002A048B">
      <w:pPr>
        <w:spacing w:before="0" w:after="0" w:line="240" w:lineRule="auto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261"/>
      </w:tblGrid>
      <w:tr w:rsidR="00D6169F" w:rsidRPr="002A048B" w:rsidTr="002A048B">
        <w:trPr>
          <w:tblHeader/>
        </w:trPr>
        <w:tc>
          <w:tcPr>
            <w:tcW w:w="2154" w:type="pct"/>
            <w:shd w:val="clear" w:color="auto" w:fill="auto"/>
            <w:vAlign w:val="center"/>
          </w:tcPr>
          <w:p w:rsidR="00D6169F" w:rsidRPr="002A048B" w:rsidRDefault="00D6169F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M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SI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 xml:space="preserve"> I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I 3</w:t>
            </w:r>
          </w:p>
          <w:p w:rsidR="00D6169F" w:rsidRPr="002A048B" w:rsidRDefault="00D6169F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(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G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</w:t>
            </w:r>
            <w:r w:rsidRPr="002A048B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HU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N)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D6169F" w:rsidRPr="002A048B" w:rsidRDefault="00D6169F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M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SI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 xml:space="preserve"> I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pacing w:val="-3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I 4</w:t>
            </w:r>
          </w:p>
          <w:p w:rsidR="00D6169F" w:rsidRPr="002A048B" w:rsidRDefault="00D6169F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(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T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E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R</w:t>
            </w:r>
            <w:r w:rsidRPr="002A048B">
              <w:rPr>
                <w:rFonts w:ascii="Tahoma" w:hAnsi="Tahoma" w:cs="Tahoma"/>
                <w:b/>
                <w:spacing w:val="1"/>
                <w:sz w:val="20"/>
                <w:szCs w:val="20"/>
                <w:lang w:val="en-ID"/>
              </w:rPr>
              <w:t>AM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P</w:t>
            </w:r>
            <w:r w:rsidRPr="002A048B">
              <w:rPr>
                <w:rFonts w:ascii="Tahoma" w:hAnsi="Tahoma" w:cs="Tahoma"/>
                <w:b/>
                <w:spacing w:val="-1"/>
                <w:sz w:val="20"/>
                <w:szCs w:val="20"/>
                <w:lang w:val="en-ID"/>
              </w:rPr>
              <w:t>I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LA</w:t>
            </w:r>
            <w:r w:rsidRPr="002A048B">
              <w:rPr>
                <w:rFonts w:ascii="Tahoma" w:hAnsi="Tahoma" w:cs="Tahoma"/>
                <w:b/>
                <w:spacing w:val="-2"/>
                <w:sz w:val="20"/>
                <w:szCs w:val="20"/>
                <w:lang w:val="en-ID"/>
              </w:rPr>
              <w:t>N</w:t>
            </w: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)</w:t>
            </w:r>
          </w:p>
        </w:tc>
      </w:tr>
      <w:tr w:rsidR="00D6169F" w:rsidRPr="002A048B" w:rsidTr="002A048B">
        <w:tc>
          <w:tcPr>
            <w:tcW w:w="2154" w:type="pct"/>
            <w:shd w:val="clear" w:color="auto" w:fill="auto"/>
          </w:tcPr>
          <w:p w:rsidR="00D6169F" w:rsidRPr="002A048B" w:rsidRDefault="00D6169F" w:rsidP="002A04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Memahami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menerapkan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menganalisis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pengetahuan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faktual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konseptual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b/>
                <w:kern w:val="24"/>
                <w:sz w:val="20"/>
                <w:szCs w:val="20"/>
              </w:rPr>
              <w:t>prosedural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da</w:t>
            </w:r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n</w:t>
            </w:r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metakognitif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berdasarkan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rasa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ingin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tahunya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tentang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ilmu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pengetahuan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teknologi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seni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budaya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humaniora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wawasan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kemanusiaan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kebangsaan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kenegaraan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peradaban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terkait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penyebab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fenomena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kejadian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bidang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spesifik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untuk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memecahkan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masalah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. </w:t>
            </w:r>
          </w:p>
        </w:tc>
        <w:tc>
          <w:tcPr>
            <w:tcW w:w="2846" w:type="pct"/>
            <w:shd w:val="clear" w:color="auto" w:fill="auto"/>
          </w:tcPr>
          <w:p w:rsidR="00D6169F" w:rsidRPr="002A048B" w:rsidRDefault="00D6169F" w:rsidP="002A04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Mengolah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menalar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menyaji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dalam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ranah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konkret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ranah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abstrak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terkait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dengan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pengembangan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dari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dipelajarinya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di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sekolah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secara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mandiri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bertindak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secara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efektif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>kreatif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dan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mampu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melaksanakan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tugas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spesifik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di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bawah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pengawasan</w:t>
            </w:r>
            <w:proofErr w:type="spellEnd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eastAsia="ヒラギノ角ゴ Pro W3" w:hAnsi="Tahoma" w:cs="Tahoma"/>
                <w:kern w:val="24"/>
                <w:sz w:val="20"/>
                <w:szCs w:val="20"/>
              </w:rPr>
              <w:t>langsung</w:t>
            </w:r>
            <w:proofErr w:type="spellEnd"/>
          </w:p>
        </w:tc>
      </w:tr>
    </w:tbl>
    <w:p w:rsidR="00D6169F" w:rsidRPr="002A048B" w:rsidRDefault="00D6169F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p w:rsidR="002A048B" w:rsidRDefault="002A048B">
      <w:pPr>
        <w:spacing w:before="0" w:after="200" w:line="276" w:lineRule="auto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  <w:lang w:val="id-ID"/>
        </w:rPr>
        <w:br w:type="page"/>
      </w:r>
    </w:p>
    <w:p w:rsidR="00E31615" w:rsidRPr="002A048B" w:rsidRDefault="00E31615" w:rsidP="002A048B">
      <w:pPr>
        <w:spacing w:before="0" w:after="0" w:line="240" w:lineRule="auto"/>
        <w:rPr>
          <w:rFonts w:ascii="Tahoma" w:hAnsi="Tahoma" w:cs="Tahoma"/>
          <w:b/>
          <w:lang w:val="id-ID"/>
        </w:rPr>
      </w:pPr>
      <w:r w:rsidRPr="002A048B">
        <w:rPr>
          <w:rFonts w:ascii="Tahoma" w:hAnsi="Tahoma" w:cs="Tahoma"/>
          <w:b/>
          <w:lang w:val="id-ID"/>
        </w:rPr>
        <w:lastRenderedPageBreak/>
        <w:t>KELAS : XI,   JUMLAH JAM :</w:t>
      </w:r>
      <w:r w:rsidR="007C6047" w:rsidRPr="002A048B">
        <w:rPr>
          <w:rFonts w:ascii="Tahoma" w:hAnsi="Tahoma" w:cs="Tahoma"/>
          <w:b/>
          <w:lang w:val="id-ID"/>
        </w:rPr>
        <w:t xml:space="preserve"> 216 JAM</w:t>
      </w:r>
    </w:p>
    <w:tbl>
      <w:tblPr>
        <w:tblpPr w:leftFromText="180" w:rightFromText="180" w:vertAnchor="page" w:horzAnchor="margin" w:tblpXSpec="center" w:tblpY="18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2238"/>
        <w:gridCol w:w="1041"/>
        <w:gridCol w:w="1777"/>
      </w:tblGrid>
      <w:tr w:rsidR="00852B9B" w:rsidRPr="002A048B" w:rsidTr="002A048B">
        <w:trPr>
          <w:tblHeader/>
        </w:trPr>
        <w:tc>
          <w:tcPr>
            <w:tcW w:w="1821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bookmarkStart w:id="0" w:name="_GoBack"/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id-ID"/>
              </w:rPr>
              <w:t>ALOKASI WAKTU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</w:rPr>
              <w:t>SERTIFIKASI KOMPETENSI</w:t>
            </w: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Menentukan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keras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 Auto 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Menyiapkan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keras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 CAD 2D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LOG.OO09.002.00</w:t>
            </w:r>
          </w:p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LOG.OO09.003.01</w:t>
            </w:r>
          </w:p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LOG.OO009.005.01</w:t>
            </w:r>
          </w:p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LOG.OO09.009.01</w:t>
            </w:r>
          </w:p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LOG.OO010.01</w:t>
            </w: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lunak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 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Mencoba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lunak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 CAD 2D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prosedu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menu toolbar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 menu toolbar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 xml:space="preserve">3.4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318" w:hanging="318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 xml:space="preserve">4.5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>3.6Menerapkanaturantambahanpadagambarkerja Auto 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318" w:hanging="318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 xml:space="preserve">4.6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tambahan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rancangan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komponen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instrument</w:t>
            </w:r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logam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 xml:space="preserve">4.7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Membuat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AutoCAD 2D</w:t>
            </w:r>
          </w:p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48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mencetak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</w:rPr>
              <w:t xml:space="preserve">4.8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mencetak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24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483" w:rsidRPr="002A048B" w:rsidTr="002A048B">
        <w:tc>
          <w:tcPr>
            <w:tcW w:w="1821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kualitas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2D</w:t>
            </w:r>
          </w:p>
        </w:tc>
        <w:tc>
          <w:tcPr>
            <w:tcW w:w="1925" w:type="pct"/>
            <w:shd w:val="clear" w:color="auto" w:fill="auto"/>
          </w:tcPr>
          <w:p w:rsidR="00257483" w:rsidRPr="002A048B" w:rsidRDefault="00257483" w:rsidP="002A048B">
            <w:pPr>
              <w:pStyle w:val="ListParagraph"/>
              <w:numPr>
                <w:ilvl w:val="1"/>
                <w:numId w:val="13"/>
              </w:numPr>
              <w:tabs>
                <w:tab w:val="left" w:pos="884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Menyajikan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2D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57483" w:rsidRPr="002A048B" w:rsidRDefault="00257483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24</w:t>
            </w:r>
          </w:p>
        </w:tc>
        <w:tc>
          <w:tcPr>
            <w:tcW w:w="669" w:type="pct"/>
            <w:vMerge/>
            <w:shd w:val="clear" w:color="auto" w:fill="auto"/>
          </w:tcPr>
          <w:p w:rsidR="00257483" w:rsidRPr="002A048B" w:rsidRDefault="00257483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580" w:rsidRPr="002A048B" w:rsidTr="002A048B">
        <w:tc>
          <w:tcPr>
            <w:tcW w:w="5000" w:type="pct"/>
            <w:gridSpan w:val="4"/>
            <w:shd w:val="clear" w:color="auto" w:fill="auto"/>
          </w:tcPr>
          <w:p w:rsidR="006E2580" w:rsidRPr="002A048B" w:rsidRDefault="006E2580" w:rsidP="002A048B">
            <w:pPr>
              <w:tabs>
                <w:tab w:val="left" w:pos="851"/>
              </w:tabs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6E2580" w:rsidRPr="002A048B" w:rsidRDefault="006E2580" w:rsidP="002A048B">
            <w:pPr>
              <w:tabs>
                <w:tab w:val="left" w:pos="851"/>
              </w:tabs>
              <w:spacing w:before="0" w:after="0" w:line="240" w:lineRule="auto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id-ID"/>
              </w:rPr>
              <w:t>KELAS : XII, 204 JAM</w:t>
            </w:r>
          </w:p>
          <w:p w:rsidR="006E2580" w:rsidRPr="002A048B" w:rsidRDefault="006E2580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2B9B" w:rsidRPr="002A048B" w:rsidTr="002A048B">
        <w:trPr>
          <w:tblHeader/>
        </w:trPr>
        <w:tc>
          <w:tcPr>
            <w:tcW w:w="1821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en-ID"/>
              </w:rPr>
              <w:t>KOMPETENSI DASAR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  <w:lang w:val="id-ID"/>
              </w:rPr>
              <w:t>ALOKASI WAKTU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52B9B" w:rsidRPr="002A048B" w:rsidRDefault="00852B9B" w:rsidP="002A04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048B">
              <w:rPr>
                <w:rFonts w:ascii="Tahoma" w:hAnsi="Tahoma" w:cs="Tahoma"/>
                <w:b/>
                <w:sz w:val="20"/>
                <w:szCs w:val="20"/>
              </w:rPr>
              <w:t>SERTIFIKASI KOMPETENSI</w:t>
            </w: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Memilih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i</w:t>
            </w:r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stem CAD 3D</w:t>
            </w:r>
          </w:p>
          <w:p w:rsidR="00A6786A" w:rsidRPr="002A048B" w:rsidRDefault="00A6786A" w:rsidP="002A048B">
            <w:pPr>
              <w:pStyle w:val="ListParagraph"/>
              <w:spacing w:after="0" w:line="240" w:lineRule="auto"/>
              <w:ind w:left="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Menyiapkan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keras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untuk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CAD 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LOG.OO09.002.00</w:t>
            </w:r>
          </w:p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LOG.OO09.003.01</w:t>
            </w:r>
          </w:p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LOG.OO009.005.</w:t>
            </w: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01</w:t>
            </w:r>
          </w:p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LOG.OO09.009.01</w:t>
            </w:r>
          </w:p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LOG.OO010.01</w:t>
            </w: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keras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CAD 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Mendemonstrasik</w:t>
            </w:r>
            <w:r w:rsidRPr="002A048B">
              <w:rPr>
                <w:rFonts w:ascii="Tahoma" w:hAnsi="Tahoma" w:cs="Tahoma"/>
                <w:sz w:val="20"/>
                <w:szCs w:val="20"/>
              </w:rPr>
              <w:lastRenderedPageBreak/>
              <w:t>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penggunaan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keras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lastRenderedPageBreak/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da-DK"/>
              </w:rPr>
              <w:t xml:space="preserve"> untuk menggambar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perangkat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lunak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CAD 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menu toolbar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endemonstrasikan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penggunaan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menu toolbar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icon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icon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pada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menggunakan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AutoCAD 3D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da-DK"/>
              </w:rPr>
              <w:t xml:space="preserve">Merinci (ditel) pandangan menggunakan berbagai skala untuk memenuhi persyaratan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Auto Cad 3D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Memproduksi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ditel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dengan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CAD 3D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sesuai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aturan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</w:p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44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86A" w:rsidRPr="002A048B" w:rsidTr="002A048B">
        <w:tc>
          <w:tcPr>
            <w:tcW w:w="1821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ahoma" w:hAnsi="Tahoma" w:cs="Tahoma"/>
                <w:sz w:val="20"/>
                <w:szCs w:val="20"/>
                <w:lang w:val="da-DK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Menerapkan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perintah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mencetak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>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en-US"/>
              </w:rPr>
              <w:t xml:space="preserve"> 3D</w:t>
            </w:r>
          </w:p>
        </w:tc>
        <w:tc>
          <w:tcPr>
            <w:tcW w:w="1925" w:type="pct"/>
            <w:shd w:val="clear" w:color="auto" w:fill="auto"/>
          </w:tcPr>
          <w:p w:rsidR="00A6786A" w:rsidRPr="002A048B" w:rsidRDefault="00A6786A" w:rsidP="002A048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59" w:hanging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Menyajikan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gambar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kerja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A048B">
              <w:rPr>
                <w:rFonts w:ascii="Tahoma" w:hAnsi="Tahoma" w:cs="Tahoma"/>
                <w:sz w:val="20"/>
                <w:szCs w:val="20"/>
              </w:rPr>
              <w:t>AutoCad</w:t>
            </w:r>
            <w:proofErr w:type="spellEnd"/>
            <w:r w:rsidRPr="002A048B">
              <w:rPr>
                <w:rFonts w:ascii="Tahoma" w:hAnsi="Tahoma" w:cs="Tahoma"/>
                <w:sz w:val="20"/>
                <w:szCs w:val="20"/>
              </w:rPr>
              <w:t xml:space="preserve"> 3D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786A" w:rsidRPr="002A048B" w:rsidRDefault="00A6786A" w:rsidP="002A048B">
            <w:pPr>
              <w:spacing w:before="0"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2A048B">
              <w:rPr>
                <w:rFonts w:ascii="Tahoma" w:hAnsi="Tahoma" w:cs="Tahoma"/>
                <w:sz w:val="20"/>
                <w:szCs w:val="20"/>
                <w:lang w:val="id-ID"/>
              </w:rPr>
              <w:t>20</w:t>
            </w:r>
          </w:p>
        </w:tc>
        <w:tc>
          <w:tcPr>
            <w:tcW w:w="669" w:type="pct"/>
            <w:vMerge/>
            <w:shd w:val="clear" w:color="auto" w:fill="auto"/>
          </w:tcPr>
          <w:p w:rsidR="00A6786A" w:rsidRPr="002A048B" w:rsidRDefault="00A6786A" w:rsidP="002A048B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852B9B" w:rsidRPr="002A048B" w:rsidRDefault="00852B9B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p w:rsidR="00852B9B" w:rsidRPr="002A048B" w:rsidRDefault="00852B9B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p w:rsidR="00852B9B" w:rsidRPr="002A048B" w:rsidRDefault="00852B9B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p w:rsidR="00852B9B" w:rsidRPr="002A048B" w:rsidRDefault="00852B9B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p w:rsidR="00D6169F" w:rsidRPr="002A048B" w:rsidRDefault="00D6169F" w:rsidP="002A048B">
      <w:pPr>
        <w:spacing w:before="0" w:after="0" w:line="240" w:lineRule="auto"/>
        <w:rPr>
          <w:rFonts w:ascii="Tahoma" w:hAnsi="Tahoma" w:cs="Tahoma"/>
          <w:lang w:val="id-ID"/>
        </w:rPr>
      </w:pPr>
    </w:p>
    <w:sectPr w:rsidR="00D6169F" w:rsidRPr="002A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74D"/>
    <w:multiLevelType w:val="multilevel"/>
    <w:tmpl w:val="3154CF06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</w:rPr>
    </w:lvl>
  </w:abstractNum>
  <w:abstractNum w:abstractNumId="1">
    <w:nsid w:val="0D8E358A"/>
    <w:multiLevelType w:val="multilevel"/>
    <w:tmpl w:val="4E80D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4E135D"/>
    <w:multiLevelType w:val="multilevel"/>
    <w:tmpl w:val="3154CF06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</w:rPr>
    </w:lvl>
  </w:abstractNum>
  <w:abstractNum w:abstractNumId="3">
    <w:nsid w:val="15517680"/>
    <w:multiLevelType w:val="multilevel"/>
    <w:tmpl w:val="3154CF06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</w:rPr>
    </w:lvl>
  </w:abstractNum>
  <w:abstractNum w:abstractNumId="4">
    <w:nsid w:val="1ADF034D"/>
    <w:multiLevelType w:val="multilevel"/>
    <w:tmpl w:val="3154CF06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</w:rPr>
    </w:lvl>
  </w:abstractNum>
  <w:abstractNum w:abstractNumId="5">
    <w:nsid w:val="27DA0324"/>
    <w:multiLevelType w:val="multilevel"/>
    <w:tmpl w:val="347021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FB2C1E"/>
    <w:multiLevelType w:val="hybridMultilevel"/>
    <w:tmpl w:val="9158443A"/>
    <w:lvl w:ilvl="0" w:tplc="8F2E5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A0493"/>
    <w:multiLevelType w:val="hybridMultilevel"/>
    <w:tmpl w:val="717AE4D2"/>
    <w:lvl w:ilvl="0" w:tplc="3620B4C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B122A"/>
    <w:multiLevelType w:val="multilevel"/>
    <w:tmpl w:val="3154CF06"/>
    <w:lvl w:ilvl="0">
      <w:start w:val="4"/>
      <w:numFmt w:val="decimal"/>
      <w:lvlText w:val="%1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Tahoma" w:hAnsi="Tahoma" w:cs="Tahoma" w:hint="default"/>
      </w:rPr>
    </w:lvl>
  </w:abstractNum>
  <w:abstractNum w:abstractNumId="9">
    <w:nsid w:val="500C12E2"/>
    <w:multiLevelType w:val="multilevel"/>
    <w:tmpl w:val="207C8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2364D6"/>
    <w:multiLevelType w:val="multilevel"/>
    <w:tmpl w:val="BAA60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12">
    <w:nsid w:val="731118EC"/>
    <w:multiLevelType w:val="multilevel"/>
    <w:tmpl w:val="87A07E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602766"/>
    <w:multiLevelType w:val="multilevel"/>
    <w:tmpl w:val="4AA27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1D"/>
    <w:rsid w:val="00137B29"/>
    <w:rsid w:val="00216B79"/>
    <w:rsid w:val="00257483"/>
    <w:rsid w:val="002A048B"/>
    <w:rsid w:val="002D3E08"/>
    <w:rsid w:val="004A611D"/>
    <w:rsid w:val="005F4B1D"/>
    <w:rsid w:val="006E2580"/>
    <w:rsid w:val="007C6047"/>
    <w:rsid w:val="00852B9B"/>
    <w:rsid w:val="008F6BA0"/>
    <w:rsid w:val="00A6786A"/>
    <w:rsid w:val="00D6169F"/>
    <w:rsid w:val="00DF283F"/>
    <w:rsid w:val="00E31615"/>
    <w:rsid w:val="00E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C8C4C-EFCF-4E51-B7F3-3A94F59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1D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A611D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A611D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4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8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19FD-8058-4AC6-A65E-B97F4D74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Windows User</cp:lastModifiedBy>
  <cp:revision>11</cp:revision>
  <cp:lastPrinted>2016-11-23T04:29:00Z</cp:lastPrinted>
  <dcterms:created xsi:type="dcterms:W3CDTF">2016-09-16T10:26:00Z</dcterms:created>
  <dcterms:modified xsi:type="dcterms:W3CDTF">2016-11-23T04:33:00Z</dcterms:modified>
</cp:coreProperties>
</file>