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4" w:rsidRPr="006C4EF6" w:rsidRDefault="00570BA4" w:rsidP="00570BA4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70BA4" w:rsidRPr="006C4EF6" w:rsidRDefault="00570BA4" w:rsidP="00570BA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Ketenagalistrikan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proofErr w:type="gram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 </w:t>
      </w:r>
      <w:proofErr w:type="spellStart"/>
      <w:r w:rsidR="00F41471">
        <w:rPr>
          <w:rFonts w:ascii="Bookman Old Style" w:hAnsi="Bookman Old Style" w:cs="Tahoma"/>
          <w:sz w:val="24"/>
          <w:szCs w:val="24"/>
          <w:lang w:val="en-ID"/>
        </w:rPr>
        <w:t>Pendinginan</w:t>
      </w:r>
      <w:proofErr w:type="spellEnd"/>
      <w:proofErr w:type="gramEnd"/>
      <w:r w:rsidR="00F4147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4147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F41471">
        <w:rPr>
          <w:rFonts w:ascii="Bookman Old Style" w:hAnsi="Bookman Old Style" w:cs="Tahoma"/>
          <w:sz w:val="24"/>
          <w:szCs w:val="24"/>
          <w:lang w:val="en-ID"/>
        </w:rPr>
        <w:t xml:space="preserve"> Tata </w:t>
      </w:r>
      <w:proofErr w:type="spellStart"/>
      <w:r w:rsidR="00F41471">
        <w:rPr>
          <w:rFonts w:ascii="Bookman Old Style" w:hAnsi="Bookman Old Style" w:cs="Tahoma"/>
          <w:sz w:val="24"/>
          <w:szCs w:val="24"/>
          <w:lang w:val="en-ID"/>
        </w:rPr>
        <w:t>Udara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ab/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(3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4EF6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6C4EF6" w:rsidRPr="006C4EF6" w:rsidTr="008F17B8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C4EF6" w:rsidRPr="006C4EF6" w:rsidTr="008F17B8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F4147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Pendinginan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dan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Tata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Udara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8F17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F41471"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Teknik</w:t>
            </w:r>
            <w:proofErr w:type="spellEnd"/>
            <w:r w:rsidR="00F41471"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Pendinginan</w:t>
            </w:r>
            <w:proofErr w:type="spellEnd"/>
            <w:proofErr w:type="gram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dan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Tata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Udara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70BA4" w:rsidRPr="006C4EF6" w:rsidRDefault="00570BA4" w:rsidP="00570BA4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570BA4" w:rsidRPr="006C4EF6" w:rsidRDefault="00570BA4" w:rsidP="006C4EF6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Gambar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Teknik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bookmarkStart w:id="0" w:name="_GoBack"/>
      <w:bookmarkEnd w:id="0"/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Kelistrikan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58"/>
        <w:gridCol w:w="902"/>
        <w:gridCol w:w="1871"/>
        <w:gridCol w:w="1820"/>
      </w:tblGrid>
      <w:tr w:rsidR="006C4EF6" w:rsidRPr="006C4EF6" w:rsidTr="00EC098F">
        <w:trPr>
          <w:tblHeader/>
        </w:trPr>
        <w:tc>
          <w:tcPr>
            <w:tcW w:w="1225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17" w:hanging="583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Membedakan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A84ADC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42711E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C64644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numPr>
                <w:ilvl w:val="1"/>
                <w:numId w:val="11"/>
              </w:numPr>
              <w:spacing w:after="0" w:line="240" w:lineRule="auto"/>
              <w:ind w:left="545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numPr>
                <w:ilvl w:val="1"/>
                <w:numId w:val="12"/>
              </w:numPr>
              <w:spacing w:after="0" w:line="240" w:lineRule="auto"/>
              <w:ind w:left="592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42711E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2541" w:type="pct"/>
            <w:gridSpan w:val="2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83" w:type="pct"/>
            <w:shd w:val="clear" w:color="auto" w:fill="auto"/>
          </w:tcPr>
          <w:p w:rsidR="0047324B" w:rsidRPr="006C4EF6" w:rsidRDefault="00737422" w:rsidP="00766581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108 JP</w:t>
            </w:r>
          </w:p>
        </w:tc>
        <w:tc>
          <w:tcPr>
            <w:tcW w:w="1002" w:type="pct"/>
            <w:shd w:val="clear" w:color="auto" w:fill="auto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501E09" w:rsidRPr="006C4EF6" w:rsidRDefault="00501E09" w:rsidP="00501E09">
      <w:pPr>
        <w:spacing w:before="0" w:after="0" w:line="240" w:lineRule="auto"/>
        <w:jc w:val="both"/>
        <w:rPr>
          <w:rFonts w:ascii="Tahoma" w:hAnsi="Tahoma" w:cs="Tahoma"/>
          <w:lang w:val="en-ID"/>
        </w:rPr>
      </w:pPr>
    </w:p>
    <w:p w:rsidR="0047324B" w:rsidRPr="006C4EF6" w:rsidRDefault="0047324B" w:rsidP="0047324B">
      <w:pPr>
        <w:spacing w:before="0" w:after="200" w:line="276" w:lineRule="auto"/>
        <w:rPr>
          <w:rFonts w:ascii="Tahoma" w:hAnsi="Tahoma" w:cs="Tahoma"/>
        </w:rPr>
      </w:pPr>
    </w:p>
    <w:p w:rsidR="00FC1B32" w:rsidRPr="006C4EF6" w:rsidRDefault="00FC1B32" w:rsidP="00DD40D8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DD40D8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Dasar Listrik dan Elektronika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58"/>
        <w:gridCol w:w="894"/>
        <w:gridCol w:w="1853"/>
        <w:gridCol w:w="1802"/>
      </w:tblGrid>
      <w:tr w:rsidR="006C4EF6" w:rsidRPr="006C4EF6" w:rsidTr="00DB0E6A">
        <w:trPr>
          <w:tblHeader/>
        </w:trPr>
        <w:tc>
          <w:tcPr>
            <w:tcW w:w="124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teorema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nggunakan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fenomena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nggunakan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numPr>
                <w:ilvl w:val="1"/>
                <w:numId w:val="15"/>
              </w:numPr>
              <w:spacing w:after="0" w:line="240" w:lineRule="auto"/>
              <w:ind w:left="635" w:hanging="630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numPr>
                <w:ilvl w:val="1"/>
                <w:numId w:val="14"/>
              </w:numPr>
              <w:spacing w:after="0" w:line="240" w:lineRule="auto"/>
              <w:ind w:left="653" w:hanging="6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2565" w:type="pct"/>
            <w:gridSpan w:val="2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79" w:type="pct"/>
            <w:shd w:val="clear" w:color="auto" w:fill="auto"/>
          </w:tcPr>
          <w:p w:rsidR="0047324B" w:rsidRPr="006C4EF6" w:rsidRDefault="00DB0E6A" w:rsidP="00DD40D8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216 JP</w:t>
            </w:r>
          </w:p>
        </w:tc>
        <w:tc>
          <w:tcPr>
            <w:tcW w:w="992" w:type="pct"/>
            <w:shd w:val="clear" w:color="auto" w:fill="auto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4D2282" w:rsidRPr="006C4EF6" w:rsidRDefault="004D2282" w:rsidP="007701FB">
      <w:pPr>
        <w:spacing w:before="0" w:after="200" w:line="276" w:lineRule="auto"/>
        <w:rPr>
          <w:rFonts w:ascii="Tahoma" w:hAnsi="Tahoma" w:cs="Tahoma"/>
        </w:rPr>
      </w:pPr>
    </w:p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8837D3" w:rsidRPr="006C4EF6">
        <w:rPr>
          <w:rFonts w:ascii="Bookman Old Style" w:hAnsi="Bookman Old Style" w:cs="Tahoma"/>
          <w:sz w:val="24"/>
          <w:szCs w:val="24"/>
        </w:rPr>
        <w:tab/>
      </w:r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8837D3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Pekerjaan Dasar Elektromekanik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342"/>
        <w:gridCol w:w="858"/>
        <w:gridCol w:w="1765"/>
        <w:gridCol w:w="1717"/>
      </w:tblGrid>
      <w:tr w:rsidR="006C4EF6" w:rsidRPr="006C4EF6" w:rsidTr="002743E1">
        <w:trPr>
          <w:tblHeader/>
        </w:trPr>
        <w:tc>
          <w:tcPr>
            <w:tcW w:w="1423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erapkan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mbedakan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Memilih alat dan bahan kerja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kelistrikan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kelistrikan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pekerjaan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Merakit pekerjaan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2676" w:type="pct"/>
            <w:gridSpan w:val="2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59" w:type="pct"/>
            <w:shd w:val="clear" w:color="auto" w:fill="auto"/>
          </w:tcPr>
          <w:p w:rsidR="0047324B" w:rsidRPr="006C4EF6" w:rsidRDefault="00D674B7" w:rsidP="00756C37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144 JP</w:t>
            </w:r>
          </w:p>
        </w:tc>
        <w:tc>
          <w:tcPr>
            <w:tcW w:w="945" w:type="pct"/>
            <w:shd w:val="clear" w:color="auto" w:fill="auto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9F7950" w:rsidRPr="006C4EF6" w:rsidSect="00570BA4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D07D3"/>
    <w:multiLevelType w:val="multilevel"/>
    <w:tmpl w:val="BEF69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93BE6"/>
    <w:multiLevelType w:val="multilevel"/>
    <w:tmpl w:val="ABE276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6">
    <w:nsid w:val="4D324998"/>
    <w:multiLevelType w:val="hybridMultilevel"/>
    <w:tmpl w:val="0374F15C"/>
    <w:lvl w:ilvl="0" w:tplc="E2AA2356">
      <w:start w:val="1"/>
      <w:numFmt w:val="decimal"/>
      <w:lvlText w:val="4.%1"/>
      <w:lvlJc w:val="left"/>
      <w:pPr>
        <w:ind w:left="795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7782FA5"/>
    <w:multiLevelType w:val="multilevel"/>
    <w:tmpl w:val="16A65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6A8B2720"/>
    <w:multiLevelType w:val="multilevel"/>
    <w:tmpl w:val="68B8EB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12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E6333"/>
    <w:multiLevelType w:val="multilevel"/>
    <w:tmpl w:val="B2AAB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80369"/>
    <w:rsid w:val="00182A2B"/>
    <w:rsid w:val="001C1C96"/>
    <w:rsid w:val="001C48AB"/>
    <w:rsid w:val="001D365F"/>
    <w:rsid w:val="00216996"/>
    <w:rsid w:val="002743E1"/>
    <w:rsid w:val="00281C63"/>
    <w:rsid w:val="00291BE2"/>
    <w:rsid w:val="00371838"/>
    <w:rsid w:val="003E2159"/>
    <w:rsid w:val="0042711E"/>
    <w:rsid w:val="0047324B"/>
    <w:rsid w:val="004D2282"/>
    <w:rsid w:val="00501E09"/>
    <w:rsid w:val="00527BF3"/>
    <w:rsid w:val="00570BA4"/>
    <w:rsid w:val="006112C7"/>
    <w:rsid w:val="00620E61"/>
    <w:rsid w:val="00636C50"/>
    <w:rsid w:val="006B76BB"/>
    <w:rsid w:val="006C4EF6"/>
    <w:rsid w:val="00733552"/>
    <w:rsid w:val="00737422"/>
    <w:rsid w:val="00740A4B"/>
    <w:rsid w:val="00756C37"/>
    <w:rsid w:val="00766581"/>
    <w:rsid w:val="007701FB"/>
    <w:rsid w:val="00812F23"/>
    <w:rsid w:val="008411DC"/>
    <w:rsid w:val="0087018B"/>
    <w:rsid w:val="008837D3"/>
    <w:rsid w:val="00955138"/>
    <w:rsid w:val="009571A3"/>
    <w:rsid w:val="00974A13"/>
    <w:rsid w:val="009F7950"/>
    <w:rsid w:val="00A233DC"/>
    <w:rsid w:val="00A84ADC"/>
    <w:rsid w:val="00A869AB"/>
    <w:rsid w:val="00A944B3"/>
    <w:rsid w:val="00AC7C06"/>
    <w:rsid w:val="00AE7120"/>
    <w:rsid w:val="00C64644"/>
    <w:rsid w:val="00D674B7"/>
    <w:rsid w:val="00D9767F"/>
    <w:rsid w:val="00DA3238"/>
    <w:rsid w:val="00DA4DE0"/>
    <w:rsid w:val="00DB0E6A"/>
    <w:rsid w:val="00DD40D8"/>
    <w:rsid w:val="00DF66FD"/>
    <w:rsid w:val="00E16EC0"/>
    <w:rsid w:val="00E929E1"/>
    <w:rsid w:val="00EC098F"/>
    <w:rsid w:val="00F41471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7FE-DA02-47D2-8C31-3C8B787E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USER</cp:lastModifiedBy>
  <cp:revision>25</cp:revision>
  <dcterms:created xsi:type="dcterms:W3CDTF">2017-02-17T02:33:00Z</dcterms:created>
  <dcterms:modified xsi:type="dcterms:W3CDTF">2017-02-19T02:34:00Z</dcterms:modified>
</cp:coreProperties>
</file>