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770927" w:rsidRDefault="00501E09" w:rsidP="00DB31CF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770927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501E09" w:rsidRPr="00770927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770927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501E09" w:rsidRPr="00770927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70927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01E09" w:rsidRPr="00770927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770927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770927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 xml:space="preserve"> Program </w:t>
      </w:r>
      <w:proofErr w:type="spellStart"/>
      <w:r w:rsidR="00303009" w:rsidRPr="00770927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</w:p>
    <w:p w:rsidR="00E55688" w:rsidRPr="00770927" w:rsidRDefault="00501E09" w:rsidP="003030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</w:rPr>
      </w:pP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C17888" w:rsidRPr="00770927">
        <w:rPr>
          <w:rFonts w:ascii="Bookman Old Style" w:hAnsi="Bookman Old Style" w:cs="Tahoma"/>
          <w:sz w:val="24"/>
          <w:szCs w:val="24"/>
          <w:lang w:val="en-ID"/>
        </w:rPr>
        <w:t>Semua</w:t>
      </w:r>
      <w:proofErr w:type="spellEnd"/>
      <w:r w:rsidR="00C17888" w:rsidRPr="00770927">
        <w:rPr>
          <w:rFonts w:ascii="Bookman Old Style" w:hAnsi="Bookman Old Style" w:cs="Tahoma"/>
          <w:sz w:val="24"/>
          <w:szCs w:val="24"/>
          <w:lang w:val="en-ID"/>
        </w:rPr>
        <w:t xml:space="preserve"> Program </w:t>
      </w:r>
      <w:proofErr w:type="spellStart"/>
      <w:r w:rsidR="00C17888" w:rsidRPr="00770927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="006D3562" w:rsidRPr="00770927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="006D3562" w:rsidRPr="00770927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6D3562" w:rsidRPr="00770927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DB31CF" w:rsidRPr="00770927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4A6394" w:rsidRPr="00770927">
        <w:rPr>
          <w:rFonts w:ascii="Bookman Old Style" w:hAnsi="Bookman Old Style" w:cs="Tahoma"/>
          <w:sz w:val="24"/>
          <w:szCs w:val="24"/>
          <w:lang w:val="en-ID"/>
        </w:rPr>
        <w:t xml:space="preserve">Kimia </w:t>
      </w:r>
    </w:p>
    <w:p w:rsidR="00501E09" w:rsidRPr="00770927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70927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70927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70927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70927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770927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sebag</w:t>
      </w:r>
      <w:bookmarkStart w:id="0" w:name="_GoBack"/>
      <w:bookmarkEnd w:id="0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ai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70927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70927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19"/>
      </w:tblGrid>
      <w:tr w:rsidR="00770927" w:rsidRPr="00770927" w:rsidTr="00FB259F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70927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501E09" w:rsidRPr="00770927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70927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501E09" w:rsidRPr="00770927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770927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770927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501E09" w:rsidRPr="00770927" w:rsidTr="00FB259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01E09" w:rsidRPr="00770927" w:rsidRDefault="00501E09" w:rsidP="0030300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metakognitif sesuai dengan bidang dan lingkup </w:t>
            </w:r>
            <w:proofErr w:type="spellStart"/>
            <w:r w:rsidR="007E668C" w:rsidRPr="00770927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="004A6394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imia</w:t>
            </w:r>
            <w:proofErr w:type="spellEnd"/>
            <w:r w:rsidR="004A6394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teknologi</w:t>
            </w:r>
            <w:proofErr w:type="spellEnd"/>
            <w:r w:rsidR="00303009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rekayasa</w:t>
            </w:r>
            <w:proofErr w:type="spellEnd"/>
            <w:r w:rsidR="004A6394"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B31CF" w:rsidRPr="00770927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</w:t>
            </w:r>
            <w:r w:rsidR="004A6394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imia</w:t>
            </w:r>
            <w:proofErr w:type="spellEnd"/>
            <w:r w:rsidR="004A6394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teknologi</w:t>
            </w:r>
            <w:proofErr w:type="spellEnd"/>
            <w:r w:rsidR="00303009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03009"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rekayasa</w:t>
            </w:r>
            <w:proofErr w:type="spellEnd"/>
          </w:p>
          <w:p w:rsidR="00501E09" w:rsidRPr="00770927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70927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70927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70927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4413"/>
        <w:gridCol w:w="1066"/>
      </w:tblGrid>
      <w:tr w:rsidR="00770927" w:rsidRPr="00770927" w:rsidTr="00FB259F">
        <w:trPr>
          <w:tblHeader/>
        </w:trPr>
        <w:tc>
          <w:tcPr>
            <w:tcW w:w="3860" w:type="dxa"/>
            <w:shd w:val="clear" w:color="auto" w:fill="auto"/>
            <w:vAlign w:val="center"/>
          </w:tcPr>
          <w:p w:rsidR="005F0DA1" w:rsidRPr="00770927" w:rsidRDefault="005F0DA1" w:rsidP="00E6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5F0DA1" w:rsidRPr="00770927" w:rsidRDefault="005F0DA1" w:rsidP="00E6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5F0DA1" w:rsidP="00E6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</w:rPr>
              <w:t>ALOKASI</w:t>
            </w:r>
          </w:p>
          <w:p w:rsidR="005F0DA1" w:rsidRPr="00770927" w:rsidRDefault="005F0DA1" w:rsidP="00E66063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</w:tr>
      <w:tr w:rsidR="00770927" w:rsidRPr="00770927" w:rsidTr="00FB259F">
        <w:tc>
          <w:tcPr>
            <w:tcW w:w="3860" w:type="dxa"/>
          </w:tcPr>
          <w:p w:rsidR="005F0DA1" w:rsidRPr="00770927" w:rsidRDefault="00DA601C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p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erubahan materi dan pemisahan campuran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berbagai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</w:p>
        </w:tc>
        <w:tc>
          <w:tcPr>
            <w:tcW w:w="4413" w:type="dxa"/>
          </w:tcPr>
          <w:p w:rsidR="005F0DA1" w:rsidRPr="00770927" w:rsidRDefault="00303009" w:rsidP="006C009B">
            <w:pPr>
              <w:pStyle w:val="ListParagraph"/>
              <w:numPr>
                <w:ilvl w:val="1"/>
                <w:numId w:val="22"/>
              </w:numPr>
              <w:spacing w:before="120"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Melakukan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campuran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melalui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praktikum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kimianya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EB15A6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770927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70927" w:rsidRPr="00770927" w:rsidTr="00FB259F">
        <w:tc>
          <w:tcPr>
            <w:tcW w:w="3860" w:type="dxa"/>
          </w:tcPr>
          <w:p w:rsidR="005F0DA1" w:rsidRPr="00770927" w:rsidRDefault="005F0DA1" w:rsidP="005F0DA1">
            <w:pPr>
              <w:pStyle w:val="ListParagraph"/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lambang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unsur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rumus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reaksi</w:t>
            </w:r>
            <w:proofErr w:type="spellEnd"/>
          </w:p>
        </w:tc>
        <w:tc>
          <w:tcPr>
            <w:tcW w:w="4413" w:type="dxa"/>
          </w:tcPr>
          <w:p w:rsidR="005F0DA1" w:rsidRPr="00770927" w:rsidRDefault="00DA601C" w:rsidP="00DA601C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right="57" w:hanging="55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Mengintegrasikan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penulisan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lambang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unsur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rumus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pada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persamaan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kasus-kasus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kehidupan</w:t>
            </w:r>
            <w:proofErr w:type="spellEnd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pacing w:val="-2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B43ED8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770927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70927" w:rsidRPr="00770927" w:rsidTr="00FB259F">
        <w:tc>
          <w:tcPr>
            <w:tcW w:w="3860" w:type="dxa"/>
          </w:tcPr>
          <w:p w:rsidR="005F0DA1" w:rsidRPr="00770927" w:rsidRDefault="007940A5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Mengkorelasikan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konfigurasi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elektron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untuk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menentukan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letak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periodi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k</w:t>
            </w:r>
          </w:p>
        </w:tc>
        <w:tc>
          <w:tcPr>
            <w:tcW w:w="4413" w:type="dxa"/>
          </w:tcPr>
          <w:p w:rsidR="005F0DA1" w:rsidRPr="00770927" w:rsidRDefault="007940A5" w:rsidP="00303009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Menentukan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letak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unsur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tabel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periodik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berdasarkan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konfigurasi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ele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k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tron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7940A5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770927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70927" w:rsidRPr="00770927" w:rsidTr="00FB259F">
        <w:tc>
          <w:tcPr>
            <w:tcW w:w="3860" w:type="dxa"/>
          </w:tcPr>
          <w:p w:rsidR="007940A5" w:rsidRPr="00770927" w:rsidRDefault="007940A5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lastRenderedPageBreak/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kimia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pada beberapa senyawa dalam kehidupan sehari hari</w:t>
            </w:r>
          </w:p>
        </w:tc>
        <w:tc>
          <w:tcPr>
            <w:tcW w:w="4413" w:type="dxa"/>
          </w:tcPr>
          <w:p w:rsidR="007940A5" w:rsidRPr="00770927" w:rsidRDefault="007940A5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Mengintegrasikan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pembentukan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ikatan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kimia  pada beberapa senyawa dalam kehidupan sehari hari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elektron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valensi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atom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atom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penyusunnya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7940A5" w:rsidRPr="00770927" w:rsidRDefault="007940A5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</w:tr>
      <w:tr w:rsidR="00770927" w:rsidRPr="00770927" w:rsidTr="00FB259F">
        <w:tc>
          <w:tcPr>
            <w:tcW w:w="3860" w:type="dxa"/>
          </w:tcPr>
          <w:p w:rsidR="005F0DA1" w:rsidRPr="00770927" w:rsidRDefault="005F0DA1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hukum-hukum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</w:tcPr>
          <w:p w:rsidR="005F0DA1" w:rsidRPr="00770927" w:rsidRDefault="005F0DA1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Menggunakan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hukum-hukum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dasar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perhitungan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BB6FBF" w:rsidP="001F01B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</w:t>
            </w:r>
            <w:r w:rsidR="005F0DA1" w:rsidRPr="00770927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70927" w:rsidRPr="00770927" w:rsidTr="00FB259F">
        <w:tc>
          <w:tcPr>
            <w:tcW w:w="3860" w:type="dxa"/>
          </w:tcPr>
          <w:p w:rsidR="005F0DA1" w:rsidRPr="00770927" w:rsidRDefault="005954EB" w:rsidP="005F0DA1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konsep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pH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)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dalam kehidupan sehari hari</w:t>
            </w:r>
          </w:p>
        </w:tc>
        <w:tc>
          <w:tcPr>
            <w:tcW w:w="4413" w:type="dxa"/>
          </w:tcPr>
          <w:p w:rsidR="005F0DA1" w:rsidRPr="00770927" w:rsidRDefault="00896F10" w:rsidP="006C009B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Me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mbandingkan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sifat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 larutan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melalui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praktikum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konsep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pH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larutan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(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asam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kuat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basa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lemah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)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dalam kehidupan sehari hari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5F0DA1" w:rsidRPr="00770927" w:rsidRDefault="007940A5" w:rsidP="007940A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15</w:t>
            </w:r>
            <w:r w:rsidR="005F0DA1" w:rsidRPr="00770927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</w:tr>
      <w:tr w:rsidR="00770927" w:rsidRPr="00770927" w:rsidTr="00FB259F">
        <w:tc>
          <w:tcPr>
            <w:tcW w:w="3860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Menentukan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bilangan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oksidasi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unsur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untuk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mengidentifikasi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oksidasi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reduksi</w:t>
            </w:r>
            <w:proofErr w:type="spellEnd"/>
          </w:p>
        </w:tc>
        <w:tc>
          <w:tcPr>
            <w:tcW w:w="4413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Membandingkan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antara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oksidasi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reduksi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hasil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perhitungan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bilangan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oksidasinya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</w:tr>
      <w:tr w:rsidR="00770927" w:rsidRPr="00770927" w:rsidTr="00FB259F">
        <w:tc>
          <w:tcPr>
            <w:tcW w:w="3860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proses yang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terjadi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elektrokimia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(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menghitung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E</w:t>
            </w:r>
            <w:r w:rsidRPr="00770927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volta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eletrolisa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pelapisan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) yang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Mengintegrasikan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antara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hasil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perhitungan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E</w:t>
            </w:r>
            <w:r w:rsidRPr="00770927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proses yang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terjadi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>elektrokimia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menghitung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E</w:t>
            </w:r>
            <w:r w:rsidRPr="00770927">
              <w:rPr>
                <w:rFonts w:ascii="Bookman Old Style" w:hAnsi="Bookman Old Style" w:cs="Tahoma"/>
                <w:sz w:val="24"/>
                <w:szCs w:val="24"/>
                <w:vertAlign w:val="superscript"/>
                <w:lang w:val="en-US"/>
              </w:rPr>
              <w:t>0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pada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volta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eletrolisa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pelapisan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logam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)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reaksi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yang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digunakan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</w:tr>
      <w:tr w:rsidR="00770927" w:rsidRPr="00770927" w:rsidTr="00FB259F">
        <w:tc>
          <w:tcPr>
            <w:tcW w:w="3860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pembakaran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terhadap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cara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mengatasinya</w:t>
            </w:r>
            <w:proofErr w:type="spellEnd"/>
          </w:p>
        </w:tc>
        <w:tc>
          <w:tcPr>
            <w:tcW w:w="4413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Mengatasi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dampak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pembakaran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terhadap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lingkungan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kesehatan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hasil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struktur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senyawa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hidrokarbon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</w:tr>
      <w:tr w:rsidR="00770927" w:rsidRPr="00770927" w:rsidTr="00FB259F">
        <w:tc>
          <w:tcPr>
            <w:tcW w:w="3860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12"/>
              </w:numPr>
              <w:tabs>
                <w:tab w:val="left" w:pos="567"/>
              </w:tabs>
              <w:spacing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fraksi-fraksi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minyak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bumi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kegunaannya</w:t>
            </w:r>
            <w:proofErr w:type="spellEnd"/>
          </w:p>
        </w:tc>
        <w:tc>
          <w:tcPr>
            <w:tcW w:w="4413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Mempresentasikan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proses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teknik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pemisahan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fraksi-fraksi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minyak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bumi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serta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kegunaannya</w:t>
            </w:r>
            <w:proofErr w:type="spellEnd"/>
            <w:r w:rsidRPr="00770927"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6 JP</w:t>
            </w:r>
          </w:p>
        </w:tc>
      </w:tr>
      <w:tr w:rsidR="00770927" w:rsidRPr="00770927" w:rsidTr="00FB259F">
        <w:tc>
          <w:tcPr>
            <w:tcW w:w="3860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Menganalisis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struktur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tata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nama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penggolongan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kegunaan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</w:p>
        </w:tc>
        <w:tc>
          <w:tcPr>
            <w:tcW w:w="4413" w:type="dxa"/>
          </w:tcPr>
          <w:p w:rsidR="00FB259F" w:rsidRPr="00770927" w:rsidRDefault="00FB259F" w:rsidP="00FB259F">
            <w:pPr>
              <w:pStyle w:val="ListParagraph"/>
              <w:numPr>
                <w:ilvl w:val="1"/>
                <w:numId w:val="22"/>
              </w:numPr>
              <w:tabs>
                <w:tab w:val="left" w:pos="601"/>
              </w:tabs>
              <w:spacing w:after="0" w:line="240" w:lineRule="auto"/>
              <w:ind w:left="556" w:hanging="556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Mengintegrasikan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kegunaan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dalam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kehidupan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lastRenderedPageBreak/>
              <w:t>sehari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hari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struktur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tata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nama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sifat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, 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penggolongan</w:t>
            </w:r>
            <w:proofErr w:type="spellEnd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70927">
              <w:rPr>
                <w:rFonts w:ascii="Bookman Old Style" w:hAnsi="Bookman Old Style" w:cs="Tahoma"/>
                <w:bCs/>
                <w:sz w:val="24"/>
                <w:szCs w:val="24"/>
              </w:rPr>
              <w:t>polimer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lastRenderedPageBreak/>
              <w:t>9 JP</w:t>
            </w:r>
          </w:p>
        </w:tc>
      </w:tr>
      <w:tr w:rsidR="00FB259F" w:rsidRPr="00770927" w:rsidTr="00FB259F">
        <w:tc>
          <w:tcPr>
            <w:tcW w:w="8273" w:type="dxa"/>
            <w:gridSpan w:val="2"/>
            <w:vAlign w:val="center"/>
          </w:tcPr>
          <w:p w:rsidR="00FB259F" w:rsidRPr="00770927" w:rsidRDefault="00FB259F" w:rsidP="00FB259F">
            <w:pPr>
              <w:tabs>
                <w:tab w:val="left" w:pos="601"/>
              </w:tabs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770927">
              <w:rPr>
                <w:rFonts w:ascii="Bookman Old Style" w:hAnsi="Bookman Old Style" w:cs="Tahoma"/>
                <w:sz w:val="24"/>
                <w:szCs w:val="24"/>
              </w:rPr>
              <w:lastRenderedPageBreak/>
              <w:t xml:space="preserve">Total Jam </w:t>
            </w:r>
            <w:proofErr w:type="spellStart"/>
            <w:r w:rsidRPr="00770927">
              <w:rPr>
                <w:rFonts w:ascii="Bookman Old Style" w:hAnsi="Bookman Old Style" w:cs="Tahoma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066" w:type="dxa"/>
            <w:shd w:val="clear" w:color="auto" w:fill="auto"/>
            <w:vAlign w:val="center"/>
          </w:tcPr>
          <w:p w:rsidR="00FB259F" w:rsidRPr="00770927" w:rsidRDefault="00FB259F" w:rsidP="00FB259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70927"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</w:tr>
    </w:tbl>
    <w:p w:rsidR="005F0DA1" w:rsidRPr="00770927" w:rsidRDefault="005F0DA1" w:rsidP="00FB259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5F0DA1" w:rsidRPr="00770927" w:rsidSect="00FB259F">
      <w:pgSz w:w="12242" w:h="18722" w:code="9"/>
      <w:pgMar w:top="1701" w:right="1418" w:bottom="367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8F7982"/>
    <w:multiLevelType w:val="hybridMultilevel"/>
    <w:tmpl w:val="8D1C15C4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E74E4"/>
    <w:multiLevelType w:val="multilevel"/>
    <w:tmpl w:val="2A5098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36965564"/>
    <w:multiLevelType w:val="multilevel"/>
    <w:tmpl w:val="5304323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9A2D4F"/>
    <w:multiLevelType w:val="multilevel"/>
    <w:tmpl w:val="DDF4642C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E7F5C31"/>
    <w:multiLevelType w:val="hybridMultilevel"/>
    <w:tmpl w:val="40BCC666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51B1D"/>
    <w:multiLevelType w:val="hybridMultilevel"/>
    <w:tmpl w:val="6DE0AEE0"/>
    <w:lvl w:ilvl="0" w:tplc="B838B872">
      <w:start w:val="9"/>
      <w:numFmt w:val="bullet"/>
      <w:lvlText w:val="–"/>
      <w:lvlJc w:val="left"/>
      <w:pPr>
        <w:ind w:left="459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0">
    <w:nsid w:val="4F786746"/>
    <w:multiLevelType w:val="hybridMultilevel"/>
    <w:tmpl w:val="75C2088E"/>
    <w:lvl w:ilvl="0" w:tplc="31B67C1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27627B"/>
    <w:multiLevelType w:val="multilevel"/>
    <w:tmpl w:val="ADAE6936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13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88081E"/>
    <w:multiLevelType w:val="multilevel"/>
    <w:tmpl w:val="1E201288"/>
    <w:lvl w:ilvl="0">
      <w:start w:val="4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15">
    <w:nsid w:val="68B067BE"/>
    <w:multiLevelType w:val="multilevel"/>
    <w:tmpl w:val="63320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136389"/>
    <w:multiLevelType w:val="hybridMultilevel"/>
    <w:tmpl w:val="77B4A8EC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CAB87E5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F0C47"/>
    <w:multiLevelType w:val="multilevel"/>
    <w:tmpl w:val="88F6E1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  <w:sz w:val="22"/>
      </w:rPr>
    </w:lvl>
  </w:abstractNum>
  <w:abstractNum w:abstractNumId="19">
    <w:nsid w:val="6CC92EBE"/>
    <w:multiLevelType w:val="hybridMultilevel"/>
    <w:tmpl w:val="B188417E"/>
    <w:lvl w:ilvl="0" w:tplc="CAB87E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CAB87E5C">
      <w:start w:val="1"/>
      <w:numFmt w:val="decimal"/>
      <w:lvlText w:val="4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EA43EC"/>
    <w:multiLevelType w:val="hybridMultilevel"/>
    <w:tmpl w:val="D62CDA2C"/>
    <w:lvl w:ilvl="0" w:tplc="99305ADA">
      <w:start w:val="9"/>
      <w:numFmt w:val="bullet"/>
      <w:lvlText w:val="-"/>
      <w:lvlJc w:val="left"/>
      <w:pPr>
        <w:ind w:left="4620" w:hanging="360"/>
      </w:pPr>
      <w:rPr>
        <w:rFonts w:ascii="Bookman Old Style" w:eastAsia="Calibri" w:hAnsi="Bookman Old Style" w:cs="Tahoma" w:hint="default"/>
      </w:rPr>
    </w:lvl>
    <w:lvl w:ilvl="1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3"/>
  </w:num>
  <w:num w:numId="8">
    <w:abstractNumId w:val="0"/>
  </w:num>
  <w:num w:numId="9">
    <w:abstractNumId w:val="16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5"/>
  </w:num>
  <w:num w:numId="15">
    <w:abstractNumId w:val="12"/>
  </w:num>
  <w:num w:numId="16">
    <w:abstractNumId w:val="2"/>
  </w:num>
  <w:num w:numId="17">
    <w:abstractNumId w:val="19"/>
  </w:num>
  <w:num w:numId="18">
    <w:abstractNumId w:val="22"/>
  </w:num>
  <w:num w:numId="19">
    <w:abstractNumId w:val="9"/>
  </w:num>
  <w:num w:numId="20">
    <w:abstractNumId w:val="14"/>
  </w:num>
  <w:num w:numId="21">
    <w:abstractNumId w:val="8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80369"/>
    <w:rsid w:val="00135268"/>
    <w:rsid w:val="00182A2B"/>
    <w:rsid w:val="001C1C96"/>
    <w:rsid w:val="001C21C3"/>
    <w:rsid w:val="001C48AB"/>
    <w:rsid w:val="001D365F"/>
    <w:rsid w:val="001F01B0"/>
    <w:rsid w:val="00216996"/>
    <w:rsid w:val="00281C63"/>
    <w:rsid w:val="00291BE2"/>
    <w:rsid w:val="00303009"/>
    <w:rsid w:val="003430B7"/>
    <w:rsid w:val="00371838"/>
    <w:rsid w:val="003E2159"/>
    <w:rsid w:val="00460544"/>
    <w:rsid w:val="004A6394"/>
    <w:rsid w:val="004D2282"/>
    <w:rsid w:val="00501E09"/>
    <w:rsid w:val="00503B0F"/>
    <w:rsid w:val="00527BF3"/>
    <w:rsid w:val="00562C19"/>
    <w:rsid w:val="005954EB"/>
    <w:rsid w:val="005C2502"/>
    <w:rsid w:val="005F0DA1"/>
    <w:rsid w:val="006112C7"/>
    <w:rsid w:val="00620E61"/>
    <w:rsid w:val="006349C1"/>
    <w:rsid w:val="00636C50"/>
    <w:rsid w:val="006B4DFF"/>
    <w:rsid w:val="006C009B"/>
    <w:rsid w:val="006D3562"/>
    <w:rsid w:val="00740A4B"/>
    <w:rsid w:val="00757F2D"/>
    <w:rsid w:val="007701FB"/>
    <w:rsid w:val="00770927"/>
    <w:rsid w:val="00791A9C"/>
    <w:rsid w:val="007940A5"/>
    <w:rsid w:val="007E668C"/>
    <w:rsid w:val="00812F23"/>
    <w:rsid w:val="00837570"/>
    <w:rsid w:val="008411DC"/>
    <w:rsid w:val="0087018B"/>
    <w:rsid w:val="00896F10"/>
    <w:rsid w:val="008B30B5"/>
    <w:rsid w:val="0091538F"/>
    <w:rsid w:val="00955138"/>
    <w:rsid w:val="009571A3"/>
    <w:rsid w:val="00974A13"/>
    <w:rsid w:val="009C6FFF"/>
    <w:rsid w:val="009F7950"/>
    <w:rsid w:val="00A233DC"/>
    <w:rsid w:val="00A41F00"/>
    <w:rsid w:val="00A54545"/>
    <w:rsid w:val="00A71890"/>
    <w:rsid w:val="00A944B3"/>
    <w:rsid w:val="00AB00DD"/>
    <w:rsid w:val="00AC7C06"/>
    <w:rsid w:val="00AE7120"/>
    <w:rsid w:val="00B24C96"/>
    <w:rsid w:val="00B3510A"/>
    <w:rsid w:val="00B43ED8"/>
    <w:rsid w:val="00BB6FBF"/>
    <w:rsid w:val="00C17888"/>
    <w:rsid w:val="00C30320"/>
    <w:rsid w:val="00D274BF"/>
    <w:rsid w:val="00D626D7"/>
    <w:rsid w:val="00DA3238"/>
    <w:rsid w:val="00DA4DE0"/>
    <w:rsid w:val="00DA601C"/>
    <w:rsid w:val="00DB31CF"/>
    <w:rsid w:val="00E125F8"/>
    <w:rsid w:val="00E13AA8"/>
    <w:rsid w:val="00E16EC0"/>
    <w:rsid w:val="00E55688"/>
    <w:rsid w:val="00E929E1"/>
    <w:rsid w:val="00EB15A6"/>
    <w:rsid w:val="00F27F91"/>
    <w:rsid w:val="00F8280E"/>
    <w:rsid w:val="00FB259F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BECD9-055A-4E48-9EC7-6A36063B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ww">
    <w:name w:val="ww"/>
    <w:basedOn w:val="Normal"/>
    <w:rsid w:val="00A54545"/>
    <w:pPr>
      <w:spacing w:before="0"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D7D0-1D0F-4F64-9821-C5343034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Haryo Seno</cp:lastModifiedBy>
  <cp:revision>15</cp:revision>
  <cp:lastPrinted>2017-02-28T13:03:00Z</cp:lastPrinted>
  <dcterms:created xsi:type="dcterms:W3CDTF">2017-02-27T15:02:00Z</dcterms:created>
  <dcterms:modified xsi:type="dcterms:W3CDTF">2017-02-28T13:03:00Z</dcterms:modified>
</cp:coreProperties>
</file>