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DD" w:rsidRPr="00757F2D" w:rsidRDefault="001275DD" w:rsidP="001275DD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1275DD" w:rsidRPr="00757F2D" w:rsidRDefault="001275DD" w:rsidP="001275DD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25510A" w:rsidRDefault="0025510A" w:rsidP="00A23D89">
      <w:pPr>
        <w:spacing w:after="0" w:line="240" w:lineRule="auto"/>
        <w:ind w:left="2880" w:hanging="2700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>Muatan</w:t>
      </w:r>
      <w:r>
        <w:rPr>
          <w:rFonts w:ascii="Bookman Old Style" w:hAnsi="Bookman Old Style" w:cs="Tahoma"/>
          <w:sz w:val="24"/>
          <w:szCs w:val="24"/>
          <w:lang w:val="en-ID"/>
        </w:rPr>
        <w:tab/>
        <w:t>: Nasioanl</w:t>
      </w:r>
    </w:p>
    <w:p w:rsidR="001275DD" w:rsidRPr="00757F2D" w:rsidRDefault="001275DD" w:rsidP="00A23D89">
      <w:pPr>
        <w:spacing w:after="0" w:line="240" w:lineRule="auto"/>
        <w:ind w:left="2880" w:hanging="2700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>BidangKeahlian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>
        <w:rPr>
          <w:rFonts w:ascii="Bookman Old Style" w:hAnsi="Bookman Old Style" w:cs="Tahoma"/>
          <w:sz w:val="24"/>
          <w:szCs w:val="24"/>
          <w:lang w:val="en-ID"/>
        </w:rPr>
        <w:t>SeluruhBidangKeahlian</w:t>
      </w:r>
    </w:p>
    <w:p w:rsidR="001275DD" w:rsidRPr="00757F2D" w:rsidRDefault="001275DD" w:rsidP="00A23D89">
      <w:pPr>
        <w:spacing w:after="0" w:line="240" w:lineRule="auto"/>
        <w:ind w:left="2880" w:hanging="2700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>Mata Pelajaran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>
        <w:rPr>
          <w:rFonts w:ascii="Bookman Old Style" w:hAnsi="Bookman Old Style" w:cs="Tahoma"/>
          <w:sz w:val="24"/>
          <w:szCs w:val="24"/>
          <w:lang w:val="en-ID"/>
        </w:rPr>
        <w:t>Pendidikan Agama Khonghucudan Budi Pekerti</w:t>
      </w:r>
    </w:p>
    <w:p w:rsidR="001275DD" w:rsidRPr="00757F2D" w:rsidRDefault="001275DD" w:rsidP="001275DD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25510A" w:rsidRPr="000955AA" w:rsidRDefault="0025510A" w:rsidP="0025510A">
      <w:pPr>
        <w:spacing w:after="0" w:line="36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id-ID"/>
        </w:rPr>
      </w:pPr>
      <w:r w:rsidRPr="000955AA">
        <w:rPr>
          <w:rFonts w:ascii="Bookman Old Style" w:hAnsi="Bookman Old Style" w:cs="Tahoma"/>
          <w:bCs/>
          <w:sz w:val="24"/>
          <w:szCs w:val="24"/>
          <w:lang w:val="id-ID"/>
        </w:rPr>
        <w:t>Tujuan kurikulum mencakup empat aspek kompetensi, yaitu (1) aspek kompetensi sikap spiritual, (2) sikap sosial, (3) pengetahuan, dan (4) keterampilan. Aspek-aspek kompetensi tersebut dicapai melalui proses pembelajaran intrakurikuler, kokurikuler, dan ekstrakurikuler.</w:t>
      </w:r>
    </w:p>
    <w:p w:rsidR="0025510A" w:rsidRDefault="0025510A" w:rsidP="0025510A">
      <w:pPr>
        <w:spacing w:after="120" w:line="36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</w:rPr>
      </w:pPr>
      <w:r w:rsidRPr="000955AA">
        <w:rPr>
          <w:rFonts w:ascii="Bookman Old Style" w:hAnsi="Bookman Old Style" w:cs="Tahoma"/>
          <w:bCs/>
          <w:sz w:val="24"/>
          <w:szCs w:val="24"/>
          <w:lang w:val="id-ID"/>
        </w:rPr>
        <w:t>Penumbuhan dan pengembangan kompetensi sikap dilakukan sepanjang proses pembelajaran berlangsung, dan dapat digunakan sebagai pertimbangan guru dalam mengembangkan karakter peserta didik lebih lanjut.</w:t>
      </w:r>
    </w:p>
    <w:p w:rsidR="00E431FD" w:rsidRPr="00F460B8" w:rsidRDefault="00E431FD" w:rsidP="00E431FD">
      <w:pPr>
        <w:spacing w:after="0" w:line="240" w:lineRule="auto"/>
        <w:jc w:val="center"/>
        <w:rPr>
          <w:rFonts w:ascii="Tahoma" w:hAnsi="Tahoma" w:cs="Tahoma"/>
          <w:color w:val="000000" w:themeColor="text1"/>
          <w:lang w:val="id-ID"/>
        </w:rPr>
      </w:pPr>
      <w:r w:rsidRPr="00F460B8">
        <w:rPr>
          <w:rFonts w:ascii="Tahoma" w:hAnsi="Tahoma" w:cs="Tahoma"/>
          <w:color w:val="000000" w:themeColor="text1"/>
          <w:lang w:val="id-ID"/>
        </w:rPr>
        <w:t>KOMPETENSI INTI DAN KOMPETENSI DASAR</w:t>
      </w:r>
    </w:p>
    <w:p w:rsidR="00E431FD" w:rsidRPr="00F460B8" w:rsidRDefault="00E431FD" w:rsidP="00E431FD">
      <w:pPr>
        <w:spacing w:after="0" w:line="240" w:lineRule="auto"/>
        <w:jc w:val="center"/>
        <w:rPr>
          <w:rFonts w:ascii="Tahoma" w:hAnsi="Tahoma" w:cs="Tahoma"/>
          <w:color w:val="000000" w:themeColor="text1"/>
          <w:lang w:val="id-ID"/>
        </w:rPr>
      </w:pPr>
      <w:r w:rsidRPr="00F460B8">
        <w:rPr>
          <w:rFonts w:ascii="Tahoma" w:hAnsi="Tahoma" w:cs="Tahoma"/>
          <w:color w:val="000000" w:themeColor="text1"/>
          <w:lang w:val="id-ID"/>
        </w:rPr>
        <w:t xml:space="preserve">PENDIDIKAN AGAMA </w:t>
      </w:r>
      <w:r w:rsidRPr="00F460B8">
        <w:rPr>
          <w:rFonts w:ascii="Tahoma" w:hAnsi="Tahoma" w:cs="Tahoma"/>
          <w:color w:val="000000" w:themeColor="text1"/>
        </w:rPr>
        <w:t>KHONGHUCU</w:t>
      </w:r>
      <w:r w:rsidRPr="00F460B8">
        <w:rPr>
          <w:rFonts w:ascii="Tahoma" w:hAnsi="Tahoma" w:cs="Tahoma"/>
          <w:color w:val="000000" w:themeColor="text1"/>
          <w:lang w:val="id-ID"/>
        </w:rPr>
        <w:t xml:space="preserve"> DAN BUDI PEKERTI SMA/MA/SMK/MAK</w:t>
      </w:r>
    </w:p>
    <w:p w:rsidR="00E431FD" w:rsidRPr="00F460B8" w:rsidRDefault="00E431FD" w:rsidP="00E431FD">
      <w:pPr>
        <w:pStyle w:val="ListParagraph"/>
        <w:spacing w:after="0" w:line="240" w:lineRule="auto"/>
        <w:ind w:left="750"/>
        <w:contextualSpacing w:val="0"/>
        <w:jc w:val="both"/>
        <w:rPr>
          <w:rFonts w:ascii="Tahoma" w:hAnsi="Tahoma" w:cs="Tahoma"/>
        </w:rPr>
      </w:pPr>
    </w:p>
    <w:tbl>
      <w:tblPr>
        <w:tblStyle w:val="TableGrid"/>
        <w:tblW w:w="5000" w:type="pct"/>
        <w:tblLook w:val="04A0"/>
      </w:tblPr>
      <w:tblGrid>
        <w:gridCol w:w="1416"/>
        <w:gridCol w:w="7588"/>
      </w:tblGrid>
      <w:tr w:rsidR="00E431FD" w:rsidRPr="00F460B8" w:rsidTr="00D41882">
        <w:trPr>
          <w:tblHeader/>
        </w:trPr>
        <w:tc>
          <w:tcPr>
            <w:tcW w:w="2500" w:type="pct"/>
            <w:vAlign w:val="center"/>
          </w:tcPr>
          <w:p w:rsidR="00E431FD" w:rsidRPr="00F460B8" w:rsidRDefault="00E431FD" w:rsidP="00D41882">
            <w:pPr>
              <w:shd w:val="clear" w:color="auto" w:fill="FFFFFF"/>
              <w:spacing w:after="12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KOMPETENSI INTI 1 (SIKAP SPIRITUAL)</w:t>
            </w:r>
          </w:p>
        </w:tc>
        <w:tc>
          <w:tcPr>
            <w:tcW w:w="2500" w:type="pct"/>
            <w:vAlign w:val="center"/>
          </w:tcPr>
          <w:p w:rsidR="00E431FD" w:rsidRPr="00F460B8" w:rsidRDefault="00E431FD" w:rsidP="00D41882">
            <w:pPr>
              <w:shd w:val="clear" w:color="auto" w:fill="FFFFFF"/>
              <w:spacing w:after="12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KOMPETENSI INTI 2 (SIKAP SOSIAL)</w:t>
            </w:r>
          </w:p>
        </w:tc>
      </w:tr>
      <w:tr w:rsidR="00E431FD" w:rsidRPr="00F460B8" w:rsidTr="00D41882">
        <w:tc>
          <w:tcPr>
            <w:tcW w:w="2500" w:type="pct"/>
          </w:tcPr>
          <w:p w:rsidR="00E431FD" w:rsidRPr="00F460B8" w:rsidRDefault="00E431FD" w:rsidP="008B38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2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460B8">
              <w:rPr>
                <w:rFonts w:ascii="Tahoma" w:hAnsi="Tahoma" w:cs="Tahoma"/>
                <w:bCs/>
                <w:kern w:val="24"/>
                <w:sz w:val="22"/>
                <w:szCs w:val="22"/>
              </w:rPr>
              <w:t>Menghayatidanmengamalkanajaran agama yang dianutnya</w:t>
            </w:r>
          </w:p>
        </w:tc>
        <w:tc>
          <w:tcPr>
            <w:tcW w:w="2500" w:type="pct"/>
          </w:tcPr>
          <w:p w:rsidR="00E431FD" w:rsidRPr="00E54D32" w:rsidRDefault="00E431FD" w:rsidP="00E431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sz w:val="22"/>
                <w:szCs w:val="22"/>
                <w:lang w:eastAsia="en-US"/>
              </w:rPr>
              <w:t>Menghayatidanmengamalkanperilakujujur, disiplin, santun, peduli (gotongroyong, kerjasama, toleran, damai), bertanggung-jawab, responsif, danproaktifmelaluiketeladanan, pemberiannasehat, penguatan, pembiasaan, danpengkondisiansecaraberkesinambungansertamenunjukkansikapsebagaibagiandarisolusiatasberbagaipermasalahandalamberinteraksisecaraefektifdenganlingkungansosialdanalamsertadalammenempatkandirisebagaicerminanbangsadalampergaulandunia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</w:tr>
    </w:tbl>
    <w:p w:rsidR="00E431FD" w:rsidRPr="00F460B8" w:rsidRDefault="00E431FD" w:rsidP="00E431FD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tbl>
      <w:tblPr>
        <w:tblStyle w:val="TableGrid"/>
        <w:tblW w:w="4964" w:type="pct"/>
        <w:tblLayout w:type="fixed"/>
        <w:tblLook w:val="04A0"/>
      </w:tblPr>
      <w:tblGrid>
        <w:gridCol w:w="4015"/>
        <w:gridCol w:w="3717"/>
        <w:gridCol w:w="1207"/>
      </w:tblGrid>
      <w:tr w:rsidR="00E431FD" w:rsidRPr="00F460B8" w:rsidTr="00D41882">
        <w:trPr>
          <w:tblHeader/>
        </w:trPr>
        <w:tc>
          <w:tcPr>
            <w:tcW w:w="2246" w:type="pct"/>
          </w:tcPr>
          <w:p w:rsidR="00E431FD" w:rsidRPr="00F460B8" w:rsidRDefault="00E431FD" w:rsidP="00D41882">
            <w:pPr>
              <w:shd w:val="clear" w:color="auto" w:fill="FFFFFF"/>
              <w:spacing w:after="12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KOMPETENSI DASAR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shd w:val="clear" w:color="auto" w:fill="FFFFFF"/>
              <w:spacing w:after="12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KOMPETENSI DASAR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shd w:val="clear" w:color="auto" w:fill="FFFFFF"/>
              <w:spacing w:after="12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Alokasi Waktu</w:t>
            </w:r>
          </w:p>
        </w:tc>
      </w:tr>
      <w:tr w:rsidR="00E431FD" w:rsidRPr="00F460B8" w:rsidTr="00D41882">
        <w:tc>
          <w:tcPr>
            <w:tcW w:w="2246" w:type="pct"/>
            <w:tcBorders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bCs/>
                <w:kern w:val="24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1.1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kebesaran dan kekuasaan Tian atas hidup dan kehidupan di dunia</w:t>
            </w:r>
          </w:p>
        </w:tc>
        <w:tc>
          <w:tcPr>
            <w:tcW w:w="2079" w:type="pct"/>
            <w:tcBorders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2.1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kebesaran dan kekuasaan Tian atas hidup dan kehidupan di dunia</w:t>
            </w:r>
          </w:p>
        </w:tc>
        <w:tc>
          <w:tcPr>
            <w:tcW w:w="676" w:type="pct"/>
            <w:tcBorders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hakikat dan sifat dasar manusia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yakini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 hakikat dan sifat dasar manusia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1.3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engamalkan ibadah kepada Tian,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 xml:space="preserve"> Di, Ren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engamalkan perilaku disiplin dalam menjalankan ibadah kepada Tian,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 xml:space="preserve"> Di, Ren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makna persembahyangan kepada Tian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engamalkan perilaku disiplin dan melakukan sujud dalam bersembahyang kepada Tian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ensyukuri karya dan nilai keteladanan para nabi dan raja suci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2.5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enghargai karya dan nilai keteladanan para nabi dan raja suci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ensyukuri keberadaan dan perkembangan agama Khonghucu di Indonesia sebagai karunia Tian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keberadaan agama Khonghucu dan perkembangannya di Indonesia sebagai karunia Tian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ensyukuri keberadaan tempat dan rumah ibadah umat Khonghucu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enghargai keberadaan tempat dan rumah ibadah umat Khonghucu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1.8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makna perbedaan, kerukunan, hidup toleran dan harmonis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2.8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adanya perbedaan sebagai suatu keniscayaan dalam menjalin kerukunan, hidup toleran dan harmonis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1.9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 xml:space="preserve">Menghayati </w:t>
            </w:r>
            <w:r w:rsidRPr="00FD28F0">
              <w:rPr>
                <w:rFonts w:ascii="Tahoma" w:hAnsi="Tahoma" w:cs="Tahoma"/>
                <w:i/>
              </w:rPr>
              <w:t>Zhongshu</w:t>
            </w:r>
            <w:r>
              <w:rPr>
                <w:rFonts w:ascii="Tahoma" w:hAnsi="Tahoma" w:cs="Tahoma"/>
              </w:rPr>
              <w:t xml:space="preserve"> (Satya dan Tepa</w:t>
            </w:r>
            <w:r w:rsidRPr="00FD28F0">
              <w:rPr>
                <w:rFonts w:ascii="Tahoma" w:hAnsi="Tahoma" w:cs="Tahoma"/>
              </w:rPr>
              <w:t>salira</w:t>
            </w:r>
            <w:r>
              <w:rPr>
                <w:rFonts w:ascii="Tahoma" w:hAnsi="Tahoma" w:cs="Tahoma"/>
                <w:lang w:val="en-US"/>
              </w:rPr>
              <w:t xml:space="preserve">) </w:t>
            </w:r>
            <w:r w:rsidRPr="00FD28F0">
              <w:rPr>
                <w:rFonts w:ascii="Tahoma" w:hAnsi="Tahoma" w:cs="Tahoma"/>
              </w:rPr>
              <w:t xml:space="preserve">sebagai </w:t>
            </w:r>
            <w:r>
              <w:rPr>
                <w:rFonts w:ascii="Tahoma" w:hAnsi="Tahoma" w:cs="Tahoma"/>
              </w:rPr>
              <w:t xml:space="preserve">dasar </w:t>
            </w:r>
            <w:r w:rsidRPr="00FD28F0">
              <w:rPr>
                <w:rFonts w:ascii="Tahoma" w:hAnsi="Tahoma" w:cs="Tahoma"/>
              </w:rPr>
              <w:t>ajaran Khonghucu</w:t>
            </w: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2.9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 xml:space="preserve">Menerima  </w:t>
            </w:r>
            <w:r w:rsidRPr="00FD28F0">
              <w:rPr>
                <w:rFonts w:ascii="Tahoma" w:hAnsi="Tahoma" w:cs="Tahoma"/>
                <w:i/>
              </w:rPr>
              <w:t xml:space="preserve">Zhongshu </w:t>
            </w:r>
            <w:r>
              <w:rPr>
                <w:rFonts w:ascii="Tahoma" w:hAnsi="Tahoma" w:cs="Tahoma"/>
              </w:rPr>
              <w:t xml:space="preserve">(Satya dan </w:t>
            </w:r>
            <w:r>
              <w:rPr>
                <w:rFonts w:ascii="Tahoma" w:hAnsi="Tahoma" w:cs="Tahoma"/>
                <w:lang w:val="en-US"/>
              </w:rPr>
              <w:t>T</w:t>
            </w:r>
            <w:r w:rsidRPr="00FD28F0">
              <w:rPr>
                <w:rFonts w:ascii="Tahoma" w:hAnsi="Tahoma" w:cs="Tahoma"/>
              </w:rPr>
              <w:t>epasalira) sebagai</w:t>
            </w:r>
            <w:r>
              <w:rPr>
                <w:rFonts w:ascii="Tahoma" w:hAnsi="Tahoma" w:cs="Tahoma"/>
              </w:rPr>
              <w:t xml:space="preserve"> dasar</w:t>
            </w:r>
            <w:r w:rsidRPr="00FD28F0">
              <w:rPr>
                <w:rFonts w:ascii="Tahoma" w:hAnsi="Tahoma" w:cs="Tahoma"/>
              </w:rPr>
              <w:t xml:space="preserve"> ajaran Khonghucu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tcBorders>
              <w:top w:val="single" w:sz="2" w:space="0" w:color="auto"/>
              <w:bottom w:val="single" w:sz="2" w:space="0" w:color="auto"/>
            </w:tcBorders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  <w:tcBorders>
              <w:top w:val="single" w:sz="2" w:space="0" w:color="auto"/>
              <w:bottom w:val="single" w:sz="2" w:space="0" w:color="auto"/>
            </w:tcBorders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2" w:space="0" w:color="auto"/>
              <w:bottom w:val="single" w:sz="2" w:space="0" w:color="auto"/>
            </w:tcBorders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bCs/>
                <w:kern w:val="24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1.1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0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pembinaan diri sebagai kewajiban pokok bagi setiap manusia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2.1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0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pembinaan diri sebagai kewajiban pokok bagi setiap manusia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11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eyakini 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Xiao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peril</w:t>
            </w:r>
            <w:r w:rsidRPr="00F460B8">
              <w:rPr>
                <w:rFonts w:ascii="Tahoma" w:hAnsi="Tahoma" w:cs="Tahoma"/>
                <w:sz w:val="22"/>
                <w:szCs w:val="22"/>
              </w:rPr>
              <w:t>aku bakti) sebagai pokok kebajikan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11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enerima 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Xiao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peril</w:t>
            </w:r>
            <w:r w:rsidRPr="00F460B8">
              <w:rPr>
                <w:rFonts w:ascii="Tahoma" w:hAnsi="Tahoma" w:cs="Tahoma"/>
                <w:sz w:val="22"/>
                <w:szCs w:val="22"/>
              </w:rPr>
              <w:t>aku Bakti) sebagai pokok kebajikan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engimani Nabi Kongzi sebagai  Genta Rohani Tian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Tianzhi Muduo</w:t>
            </w:r>
            <w:r w:rsidRPr="00F460B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Nabi Kongzi sebagai  Genta Rohani Tian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Tianzhi Muduo</w:t>
            </w:r>
            <w:r w:rsidRPr="00F460B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prinsip-prinsip moral yang diajarkan oleh Mengzi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enerima prinsip-prinsip moral yang diajarkan oleh Mengzi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enghayati upacara persembahyangan kepada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para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 suci (</w:t>
            </w:r>
            <w:r w:rsidRPr="0021638E">
              <w:rPr>
                <w:rFonts w:ascii="Tahoma" w:hAnsi="Tahoma" w:cs="Tahoma"/>
                <w:i/>
                <w:sz w:val="22"/>
                <w:szCs w:val="22"/>
                <w:lang w:val="en-US"/>
              </w:rPr>
              <w:t>Shenming</w:t>
            </w:r>
            <w:r w:rsidRPr="00F460B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enghargai upacara sembahyang kepada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para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 suci (</w:t>
            </w:r>
            <w:r w:rsidRPr="0021638E">
              <w:rPr>
                <w:rFonts w:ascii="Tahoma" w:hAnsi="Tahoma" w:cs="Tahoma"/>
                <w:i/>
                <w:sz w:val="22"/>
                <w:szCs w:val="22"/>
                <w:lang w:val="en-US"/>
              </w:rPr>
              <w:t>Shenming</w:t>
            </w:r>
            <w:r w:rsidRPr="00F460B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15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21638E">
              <w:rPr>
                <w:rFonts w:ascii="Tahoma" w:hAnsi="Tahoma" w:cs="Tahoma"/>
              </w:rPr>
              <w:t>Menghayati makna Cinta kasih (</w:t>
            </w:r>
            <w:r w:rsidRPr="0021638E">
              <w:rPr>
                <w:rFonts w:ascii="Tahoma" w:hAnsi="Tahoma" w:cs="Tahoma"/>
                <w:i/>
              </w:rPr>
              <w:t>Ren</w:t>
            </w:r>
            <w:r w:rsidRPr="0021638E">
              <w:rPr>
                <w:rFonts w:ascii="Tahoma" w:hAnsi="Tahoma" w:cs="Tahoma"/>
              </w:rPr>
              <w:t>)</w:t>
            </w:r>
            <w:r w:rsidRPr="00FD28F0">
              <w:rPr>
                <w:rFonts w:ascii="Tahoma" w:hAnsi="Tahoma" w:cs="Tahoma"/>
              </w:rPr>
              <w:t xml:space="preserve"> sebagai hakikat dan kodrat kemanusiaan</w:t>
            </w:r>
          </w:p>
        </w:tc>
        <w:tc>
          <w:tcPr>
            <w:tcW w:w="2079" w:type="pct"/>
          </w:tcPr>
          <w:p w:rsidR="00E431FD" w:rsidRPr="0021638E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638E">
              <w:rPr>
                <w:rFonts w:ascii="Tahoma" w:hAnsi="Tahoma" w:cs="Tahoma"/>
                <w:sz w:val="22"/>
                <w:szCs w:val="22"/>
              </w:rPr>
              <w:t>2.15</w:t>
            </w:r>
            <w:r w:rsidRPr="0021638E">
              <w:rPr>
                <w:rFonts w:ascii="Tahoma" w:hAnsi="Tahoma" w:cs="Tahoma"/>
              </w:rPr>
              <w:tab/>
              <w:t>Meyakini makna Cinta kasih (</w:t>
            </w:r>
            <w:r w:rsidRPr="0021638E">
              <w:rPr>
                <w:rFonts w:ascii="Tahoma" w:hAnsi="Tahoma" w:cs="Tahoma"/>
                <w:i/>
              </w:rPr>
              <w:t>Ren</w:t>
            </w:r>
            <w:r w:rsidRPr="0021638E">
              <w:rPr>
                <w:rFonts w:ascii="Tahoma" w:hAnsi="Tahoma" w:cs="Tahoma"/>
              </w:rPr>
              <w:t>) sebagai hakikat dan kodrat kemanusiaan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</w:rPr>
              <w:t xml:space="preserve">Menghayati makna kebenaran </w:t>
            </w:r>
            <w:r w:rsidRPr="00DA38AA">
              <w:rPr>
                <w:rFonts w:ascii="Tahoma" w:hAnsi="Tahoma" w:cs="Tahoma"/>
              </w:rPr>
              <w:t>(</w:t>
            </w:r>
            <w:r w:rsidRPr="00DA38AA">
              <w:rPr>
                <w:rFonts w:ascii="Tahoma" w:hAnsi="Tahoma" w:cs="Tahoma"/>
                <w:i/>
              </w:rPr>
              <w:t>Yi</w:t>
            </w:r>
            <w:r w:rsidRPr="00DA38AA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sebagai jalan bagi manusia</w:t>
            </w:r>
          </w:p>
          <w:p w:rsidR="00E431FD" w:rsidRPr="00203E50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</w:tcPr>
          <w:p w:rsidR="00E431FD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</w:rPr>
              <w:t xml:space="preserve">Meyakini makna kebenaran </w:t>
            </w:r>
            <w:r w:rsidRPr="00DA38AA">
              <w:rPr>
                <w:rFonts w:ascii="Tahoma" w:hAnsi="Tahoma" w:cs="Tahoma"/>
              </w:rPr>
              <w:t>(</w:t>
            </w:r>
            <w:r w:rsidRPr="00DA38AA">
              <w:rPr>
                <w:rFonts w:ascii="Tahoma" w:hAnsi="Tahoma" w:cs="Tahoma"/>
                <w:i/>
              </w:rPr>
              <w:t>Yi</w:t>
            </w:r>
            <w:r w:rsidRPr="00DA38AA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sebagai jalan bagi manusia</w:t>
            </w:r>
          </w:p>
          <w:p w:rsidR="00E431FD" w:rsidRPr="00203E50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i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DA38AA">
              <w:rPr>
                <w:rFonts w:ascii="Tahoma" w:hAnsi="Tahoma" w:cs="Tahoma"/>
                <w:color w:val="000000"/>
              </w:rPr>
              <w:t>Menghayati</w:t>
            </w:r>
            <w:r>
              <w:rPr>
                <w:rFonts w:ascii="Tahoma" w:hAnsi="Tahoma" w:cs="Tahoma"/>
                <w:color w:val="000000"/>
              </w:rPr>
              <w:t xml:space="preserve"> makna kesusilaan (</w:t>
            </w:r>
            <w:r w:rsidRPr="00DA38AA">
              <w:rPr>
                <w:rFonts w:ascii="Tahoma" w:hAnsi="Tahoma" w:cs="Tahoma"/>
                <w:i/>
                <w:color w:val="000000"/>
              </w:rPr>
              <w:t>Li</w:t>
            </w:r>
            <w:r>
              <w:rPr>
                <w:rFonts w:ascii="Tahoma" w:hAnsi="Tahoma" w:cs="Tahoma"/>
                <w:color w:val="000000"/>
              </w:rPr>
              <w:t>) sebagai potensi bagi manusia</w:t>
            </w:r>
          </w:p>
          <w:p w:rsidR="00E431FD" w:rsidRPr="00203E50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</w:tcPr>
          <w:p w:rsidR="00E431FD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DA38AA">
              <w:rPr>
                <w:rFonts w:ascii="Tahoma" w:hAnsi="Tahoma" w:cs="Tahoma"/>
                <w:color w:val="000000"/>
              </w:rPr>
              <w:t>Meyakini</w:t>
            </w:r>
            <w:r>
              <w:rPr>
                <w:rFonts w:ascii="Tahoma" w:hAnsi="Tahoma" w:cs="Tahoma"/>
                <w:color w:val="000000"/>
              </w:rPr>
              <w:t xml:space="preserve"> makna kesusilaan (</w:t>
            </w:r>
            <w:r w:rsidRPr="00DA38AA">
              <w:rPr>
                <w:rFonts w:ascii="Tahoma" w:hAnsi="Tahoma" w:cs="Tahoma"/>
                <w:i/>
                <w:color w:val="000000"/>
              </w:rPr>
              <w:t>Li</w:t>
            </w:r>
            <w:r>
              <w:rPr>
                <w:rFonts w:ascii="Tahoma" w:hAnsi="Tahoma" w:cs="Tahoma"/>
                <w:color w:val="000000"/>
              </w:rPr>
              <w:t>) sebagai potensi bagi manusia</w:t>
            </w:r>
          </w:p>
          <w:p w:rsidR="00E431FD" w:rsidRPr="00203E50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18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DA38AA">
              <w:rPr>
                <w:rFonts w:ascii="Tahoma" w:hAnsi="Tahoma" w:cs="Tahoma"/>
                <w:color w:val="000000"/>
              </w:rPr>
              <w:t>Menghayati</w:t>
            </w:r>
            <w:r>
              <w:rPr>
                <w:rFonts w:ascii="Tahoma" w:hAnsi="Tahoma" w:cs="Tahoma"/>
                <w:color w:val="000000"/>
              </w:rPr>
              <w:t xml:space="preserve"> makna kebijaksanaan (</w:t>
            </w:r>
            <w:r>
              <w:rPr>
                <w:rFonts w:ascii="Tahoma" w:hAnsi="Tahoma" w:cs="Tahoma"/>
                <w:i/>
                <w:color w:val="000000"/>
              </w:rPr>
              <w:t>Zhi</w:t>
            </w:r>
            <w:r>
              <w:rPr>
                <w:rFonts w:ascii="Tahoma" w:hAnsi="Tahoma" w:cs="Tahoma"/>
                <w:color w:val="000000"/>
              </w:rPr>
              <w:t>) sebagai proses berfikir manusia</w:t>
            </w:r>
          </w:p>
          <w:p w:rsidR="00E431FD" w:rsidRPr="00203E50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18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DA38AA">
              <w:rPr>
                <w:rFonts w:ascii="Tahoma" w:hAnsi="Tahoma" w:cs="Tahoma"/>
                <w:color w:val="000000"/>
              </w:rPr>
              <w:t>Meyakini</w:t>
            </w:r>
            <w:r>
              <w:rPr>
                <w:rFonts w:ascii="Tahoma" w:hAnsi="Tahoma" w:cs="Tahoma"/>
                <w:color w:val="000000"/>
              </w:rPr>
              <w:t xml:space="preserve"> makna kebijaksanaan (</w:t>
            </w:r>
            <w:r>
              <w:rPr>
                <w:rFonts w:ascii="Tahoma" w:hAnsi="Tahoma" w:cs="Tahoma"/>
                <w:i/>
                <w:color w:val="000000"/>
              </w:rPr>
              <w:t>Zhi</w:t>
            </w:r>
            <w:r>
              <w:rPr>
                <w:rFonts w:ascii="Tahoma" w:hAnsi="Tahoma" w:cs="Tahoma"/>
                <w:color w:val="000000"/>
              </w:rPr>
              <w:t>)  sebagai proses berfikir manusia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00B050"/>
          </w:tcPr>
          <w:p w:rsidR="00E431FD" w:rsidRPr="00F460B8" w:rsidRDefault="00E431FD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bCs/>
                <w:kern w:val="24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1.1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9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 pentingnya pendidikan dan belajar bagi manusia dalam rangka menggenapi kodrat suci kemanusiaannya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19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engamalkan perilaku disiplin untuk belajar dalam rangka menggenapi kodrat suci kemanusiaannya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Default="00E431FD" w:rsidP="00D41882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20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>Menghayati sikap dan perilaku sebagai insan berbudi luhur (</w:t>
            </w:r>
            <w:r w:rsidRPr="00FD28F0">
              <w:rPr>
                <w:rFonts w:ascii="Tahoma" w:hAnsi="Tahoma" w:cs="Tahoma"/>
                <w:i/>
              </w:rPr>
              <w:t>Junzi</w:t>
            </w:r>
            <w:r w:rsidRPr="00FD28F0">
              <w:rPr>
                <w:rFonts w:ascii="Tahoma" w:hAnsi="Tahoma" w:cs="Tahoma"/>
              </w:rPr>
              <w:t>)</w:t>
            </w:r>
          </w:p>
          <w:p w:rsidR="00E431FD" w:rsidRPr="00203E50" w:rsidRDefault="00E431FD" w:rsidP="00D41882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  <w:lang w:val="en-US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20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>Mengamalkan sikap dan perilaku sebagai insan berbudi luhur (</w:t>
            </w:r>
            <w:r w:rsidRPr="00FD28F0">
              <w:rPr>
                <w:rFonts w:ascii="Tahoma" w:hAnsi="Tahoma" w:cs="Tahoma"/>
                <w:i/>
              </w:rPr>
              <w:t>Junzi</w:t>
            </w:r>
            <w:r w:rsidRPr="00FD28F0">
              <w:rPr>
                <w:rFonts w:ascii="Tahoma" w:hAnsi="Tahoma" w:cs="Tahoma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 w:rsidRPr="00F460B8">
              <w:rPr>
                <w:rFonts w:ascii="Tahoma" w:hAnsi="Tahoma" w:cs="Tahoma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21</w:t>
            </w:r>
            <w:r w:rsidRPr="00F460B8">
              <w:rPr>
                <w:rFonts w:ascii="Tahoma" w:hAnsi="Tahoma" w:cs="Tahoma"/>
              </w:rPr>
              <w:tab/>
            </w:r>
            <w:r w:rsidRPr="00FD28F0">
              <w:rPr>
                <w:rFonts w:ascii="Tahoma" w:hAnsi="Tahoma" w:cs="Tahoma"/>
              </w:rPr>
              <w:t>Menghayati  sikap hidup sesuai dengan Tengah Sempurna(</w:t>
            </w:r>
            <w:r w:rsidRPr="00FD28F0">
              <w:rPr>
                <w:rFonts w:ascii="Tahoma" w:hAnsi="Tahoma" w:cs="Tahoma"/>
                <w:i/>
              </w:rPr>
              <w:t>Zhongyong</w:t>
            </w:r>
            <w:r w:rsidRPr="00FD28F0">
              <w:rPr>
                <w:rFonts w:ascii="Tahoma" w:hAnsi="Tahoma" w:cs="Tahoma"/>
              </w:rPr>
              <w:t>)</w:t>
            </w: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 w:rsidRPr="00F460B8">
              <w:rPr>
                <w:rFonts w:ascii="Tahoma" w:hAnsi="Tahoma" w:cs="Tahoma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21</w:t>
            </w:r>
            <w:r w:rsidRPr="00F460B8">
              <w:rPr>
                <w:rFonts w:ascii="Tahoma" w:hAnsi="Tahoma" w:cs="Tahoma"/>
              </w:rPr>
              <w:tab/>
            </w:r>
            <w:r w:rsidRPr="00FD28F0">
              <w:rPr>
                <w:rFonts w:ascii="Tahoma" w:hAnsi="Tahoma" w:cs="Tahoma"/>
              </w:rPr>
              <w:t>Menerima  sikap hidup sesuai dengan Tengah Sempurna(</w:t>
            </w:r>
            <w:r w:rsidRPr="00FD28F0">
              <w:rPr>
                <w:rFonts w:ascii="Tahoma" w:hAnsi="Tahoma" w:cs="Tahoma"/>
                <w:i/>
              </w:rPr>
              <w:t>Zhongyong</w:t>
            </w:r>
            <w:r w:rsidRPr="00FD28F0">
              <w:rPr>
                <w:rFonts w:ascii="Tahoma" w:hAnsi="Tahoma" w:cs="Tahoma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enyakini  kitab suci yang pokok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Sishu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) dan kitab suci yang </w:t>
            </w:r>
            <w:r w:rsidRPr="00F460B8">
              <w:rPr>
                <w:rFonts w:ascii="Tahoma" w:hAnsi="Tahoma" w:cs="Tahoma"/>
                <w:sz w:val="22"/>
                <w:szCs w:val="22"/>
              </w:rPr>
              <w:lastRenderedPageBreak/>
              <w:t>mendasari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Wujing</w:t>
            </w:r>
            <w:r w:rsidRPr="00F460B8">
              <w:rPr>
                <w:rFonts w:ascii="Tahoma" w:hAnsi="Tahoma" w:cs="Tahoma"/>
                <w:sz w:val="22"/>
                <w:szCs w:val="22"/>
              </w:rPr>
              <w:t>) sebagai pedoman hidup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22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460B8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F460B8">
              <w:rPr>
                <w:rFonts w:ascii="Tahoma" w:hAnsi="Tahoma" w:cs="Tahoma"/>
                <w:sz w:val="22"/>
                <w:szCs w:val="22"/>
              </w:rPr>
              <w:t>enghayati  kitab suci yang pokok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Sishu</w:t>
            </w:r>
            <w:r w:rsidRPr="00F460B8">
              <w:rPr>
                <w:rFonts w:ascii="Tahoma" w:hAnsi="Tahoma" w:cs="Tahoma"/>
                <w:sz w:val="22"/>
                <w:szCs w:val="22"/>
              </w:rPr>
              <w:t xml:space="preserve">) dan kitab suci </w:t>
            </w:r>
            <w:r w:rsidRPr="00F460B8">
              <w:rPr>
                <w:rFonts w:ascii="Tahoma" w:hAnsi="Tahoma" w:cs="Tahoma"/>
                <w:sz w:val="22"/>
                <w:szCs w:val="22"/>
              </w:rPr>
              <w:lastRenderedPageBreak/>
              <w:t>yang mendasari (</w:t>
            </w:r>
            <w:r w:rsidRPr="00F460B8">
              <w:rPr>
                <w:rFonts w:ascii="Tahoma" w:hAnsi="Tahoma" w:cs="Tahoma"/>
                <w:i/>
                <w:sz w:val="22"/>
                <w:szCs w:val="22"/>
              </w:rPr>
              <w:t>Wujing</w:t>
            </w:r>
            <w:r w:rsidRPr="00F460B8">
              <w:rPr>
                <w:rFonts w:ascii="Tahoma" w:hAnsi="Tahoma" w:cs="Tahoma"/>
                <w:sz w:val="22"/>
                <w:szCs w:val="22"/>
              </w:rPr>
              <w:t>) sebagai pedoman hidup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>Menghayati  makna Tahun Baru Kongzili (</w:t>
            </w:r>
            <w:r w:rsidRPr="00FD28F0">
              <w:rPr>
                <w:rFonts w:ascii="Tahoma" w:hAnsi="Tahoma" w:cs="Tahoma"/>
                <w:i/>
              </w:rPr>
              <w:t>Xinnian</w:t>
            </w:r>
            <w:r w:rsidRPr="00FD28F0">
              <w:rPr>
                <w:rFonts w:ascii="Tahoma" w:hAnsi="Tahoma" w:cs="Tahoma"/>
              </w:rPr>
              <w:t>)  sebagai hari raya agama Khonghucu</w:t>
            </w: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23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>Menerima  makna Tahun Baru Kongzili (</w:t>
            </w:r>
            <w:r w:rsidRPr="00FD28F0">
              <w:rPr>
                <w:rFonts w:ascii="Tahoma" w:hAnsi="Tahoma" w:cs="Tahoma"/>
                <w:i/>
              </w:rPr>
              <w:t>Xinnian</w:t>
            </w:r>
            <w:r w:rsidRPr="00FD28F0">
              <w:rPr>
                <w:rFonts w:ascii="Tahoma" w:hAnsi="Tahoma" w:cs="Tahoma"/>
              </w:rPr>
              <w:t>)  sebagai hari raya agama Khonghucu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  <w:color w:val="000000"/>
              </w:rPr>
              <w:t xml:space="preserve">Meyakini </w:t>
            </w:r>
            <w:r>
              <w:rPr>
                <w:rFonts w:ascii="Tahoma" w:hAnsi="Tahoma" w:cs="Tahoma"/>
                <w:color w:val="000000"/>
              </w:rPr>
              <w:t xml:space="preserve">konsep </w:t>
            </w:r>
            <w:r w:rsidRPr="005E5BD7">
              <w:rPr>
                <w:rFonts w:ascii="Tahoma" w:hAnsi="Tahoma" w:cs="Tahoma"/>
                <w:i/>
                <w:color w:val="000000"/>
              </w:rPr>
              <w:t>Yin Yang</w:t>
            </w:r>
            <w:r w:rsidRPr="00FD28F0">
              <w:rPr>
                <w:rFonts w:ascii="Tahoma" w:hAnsi="Tahoma" w:cs="Tahoma"/>
                <w:color w:val="000000"/>
              </w:rPr>
              <w:t xml:space="preserve"> sebagai Jalan Suci Tian</w:t>
            </w:r>
            <w:r>
              <w:rPr>
                <w:rFonts w:ascii="Tahoma" w:hAnsi="Tahoma" w:cs="Tahoma"/>
                <w:color w:val="000000"/>
              </w:rPr>
              <w:t xml:space="preserve"> (</w:t>
            </w:r>
            <w:r w:rsidRPr="005E5BD7">
              <w:rPr>
                <w:rFonts w:ascii="Tahoma" w:hAnsi="Tahoma" w:cs="Tahoma"/>
                <w:i/>
                <w:color w:val="000000"/>
              </w:rPr>
              <w:t>Tian Dao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24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  <w:color w:val="000000"/>
              </w:rPr>
              <w:t xml:space="preserve">Menghayati </w:t>
            </w:r>
            <w:r>
              <w:rPr>
                <w:rFonts w:ascii="Tahoma" w:hAnsi="Tahoma" w:cs="Tahoma"/>
                <w:color w:val="000000"/>
              </w:rPr>
              <w:t xml:space="preserve">konsep </w:t>
            </w:r>
            <w:r w:rsidRPr="005E5BD7">
              <w:rPr>
                <w:rFonts w:ascii="Tahoma" w:hAnsi="Tahoma" w:cs="Tahoma"/>
                <w:i/>
                <w:color w:val="000000"/>
              </w:rPr>
              <w:t>Yin Yang</w:t>
            </w:r>
            <w:r w:rsidRPr="00FD28F0">
              <w:rPr>
                <w:rFonts w:ascii="Tahoma" w:hAnsi="Tahoma" w:cs="Tahoma"/>
                <w:color w:val="000000"/>
              </w:rPr>
              <w:t xml:space="preserve"> sebagai Jalan Suci Tian</w:t>
            </w:r>
            <w:r>
              <w:rPr>
                <w:rFonts w:ascii="Tahoma" w:hAnsi="Tahoma" w:cs="Tahoma"/>
                <w:color w:val="000000"/>
              </w:rPr>
              <w:t xml:space="preserve"> (</w:t>
            </w:r>
            <w:r w:rsidRPr="005E5BD7">
              <w:rPr>
                <w:rFonts w:ascii="Tahoma" w:hAnsi="Tahoma" w:cs="Tahoma"/>
                <w:i/>
                <w:color w:val="000000"/>
              </w:rPr>
              <w:t>Tian Dao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25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 w:rsidRPr="00E11321">
              <w:rPr>
                <w:rFonts w:ascii="Tahoma" w:hAnsi="Tahoma" w:cs="Tahoma"/>
              </w:rPr>
              <w:t>Menghayati</w:t>
            </w:r>
            <w:r>
              <w:rPr>
                <w:rFonts w:ascii="Tahoma" w:hAnsi="Tahoma" w:cs="Tahoma"/>
              </w:rPr>
              <w:t xml:space="preserve"> ajaran Nabi Kongzi tentang Jalan Suci Manusia (</w:t>
            </w:r>
            <w:r w:rsidRPr="00E11321">
              <w:rPr>
                <w:rFonts w:ascii="Tahoma" w:hAnsi="Tahoma" w:cs="Tahoma"/>
                <w:i/>
              </w:rPr>
              <w:t>Ren Dao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079" w:type="pct"/>
          </w:tcPr>
          <w:p w:rsidR="00E431FD" w:rsidRPr="00203E50" w:rsidRDefault="00E431FD" w:rsidP="008B387B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i/>
                <w:strike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25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 xml:space="preserve">Meyakini </w:t>
            </w:r>
            <w:r>
              <w:rPr>
                <w:rFonts w:ascii="Tahoma" w:hAnsi="Tahoma" w:cs="Tahoma"/>
              </w:rPr>
              <w:t>ajaran Nabi Kongzi tentang Jalan Suci Manusia (</w:t>
            </w:r>
            <w:r w:rsidRPr="00E11321">
              <w:rPr>
                <w:rFonts w:ascii="Tahoma" w:hAnsi="Tahoma" w:cs="Tahoma"/>
                <w:i/>
              </w:rPr>
              <w:t>Ren Dao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rPr>
          <w:trHeight w:val="599"/>
        </w:trPr>
        <w:tc>
          <w:tcPr>
            <w:tcW w:w="2246" w:type="pct"/>
          </w:tcPr>
          <w:p w:rsidR="00E431FD" w:rsidRPr="00F460B8" w:rsidRDefault="00E431FD" w:rsidP="00D41882">
            <w:pPr>
              <w:tabs>
                <w:tab w:val="right" w:pos="3119"/>
              </w:tabs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 w:rsidRPr="00FD28F0">
              <w:rPr>
                <w:rFonts w:ascii="Tahoma" w:hAnsi="Tahoma" w:cs="Tahoma"/>
              </w:rPr>
              <w:t>Menghayati</w:t>
            </w:r>
            <w:r>
              <w:rPr>
                <w:rFonts w:ascii="Tahoma" w:hAnsi="Tahoma" w:cs="Tahoma"/>
              </w:rPr>
              <w:t xml:space="preserve"> ajaran Nabi Kongzi tentang Jalan Suci Bumi (</w:t>
            </w:r>
            <w:r w:rsidRPr="00E11321">
              <w:rPr>
                <w:rFonts w:ascii="Tahoma" w:hAnsi="Tahoma" w:cs="Tahoma"/>
                <w:i/>
              </w:rPr>
              <w:t>Di Dao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26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>Meyakini ajaran Nabi Kongzi tentang Jalan Suci Bumi (</w:t>
            </w:r>
            <w:r w:rsidRPr="00E11321">
              <w:rPr>
                <w:rFonts w:ascii="Tahoma" w:hAnsi="Tahoma" w:cs="Tahoma"/>
                <w:i/>
                <w:color w:val="000000"/>
              </w:rPr>
              <w:t>Di Dao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</w:rPr>
              <w:t xml:space="preserve">Menghayati konsep </w:t>
            </w:r>
            <w:r w:rsidRPr="005E5BD7">
              <w:rPr>
                <w:rFonts w:ascii="Tahoma" w:hAnsi="Tahoma" w:cs="Tahoma"/>
                <w:i/>
              </w:rPr>
              <w:t>Sancai</w:t>
            </w:r>
            <w:r>
              <w:rPr>
                <w:rFonts w:ascii="Tahoma" w:hAnsi="Tahoma" w:cs="Tahoma"/>
              </w:rPr>
              <w:t xml:space="preserve"> (Tian, </w:t>
            </w:r>
            <w:r w:rsidRPr="005E5BD7">
              <w:rPr>
                <w:rFonts w:ascii="Tahoma" w:hAnsi="Tahoma" w:cs="Tahoma"/>
                <w:i/>
              </w:rPr>
              <w:t>Di, Ren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079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460B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 w:rsidRPr="00F460B8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27</w:t>
            </w:r>
            <w:r w:rsidRPr="00F460B8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</w:rPr>
              <w:t xml:space="preserve">Meyakini konsep </w:t>
            </w:r>
            <w:r w:rsidRPr="005E5BD7">
              <w:rPr>
                <w:rFonts w:ascii="Tahoma" w:hAnsi="Tahoma" w:cs="Tahoma"/>
                <w:i/>
              </w:rPr>
              <w:t>Sancai</w:t>
            </w:r>
            <w:r>
              <w:rPr>
                <w:rFonts w:ascii="Tahoma" w:hAnsi="Tahoma" w:cs="Tahoma"/>
              </w:rPr>
              <w:t xml:space="preserve"> (Tian, </w:t>
            </w:r>
            <w:r w:rsidRPr="005E5BD7">
              <w:rPr>
                <w:rFonts w:ascii="Tahoma" w:hAnsi="Tahoma" w:cs="Tahoma"/>
                <w:i/>
              </w:rPr>
              <w:t>Di, Ren</w:t>
            </w:r>
            <w:r>
              <w:rPr>
                <w:rFonts w:ascii="Tahoma" w:hAnsi="Tahoma" w:cs="Tahoma"/>
              </w:rPr>
              <w:t>)</w:t>
            </w:r>
          </w:p>
          <w:p w:rsidR="00E431FD" w:rsidRPr="00F460B8" w:rsidRDefault="00E431FD" w:rsidP="00D41882">
            <w:pPr>
              <w:pStyle w:val="ListParagraph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31FD" w:rsidRPr="00F460B8" w:rsidTr="00D41882">
        <w:tc>
          <w:tcPr>
            <w:tcW w:w="2246" w:type="pct"/>
            <w:shd w:val="clear" w:color="auto" w:fill="00B050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79" w:type="pct"/>
            <w:shd w:val="clear" w:color="auto" w:fill="00B050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00B050"/>
          </w:tcPr>
          <w:p w:rsidR="00E431FD" w:rsidRPr="00F460B8" w:rsidRDefault="00E431FD" w:rsidP="00D41882">
            <w:pPr>
              <w:autoSpaceDE w:val="0"/>
              <w:autoSpaceDN w:val="0"/>
              <w:adjustRightInd w:val="0"/>
              <w:ind w:left="576" w:hanging="576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5301"/>
      </w:tblGrid>
      <w:tr w:rsidR="001275DD" w:rsidRPr="00757F2D" w:rsidTr="008B387B">
        <w:trPr>
          <w:tblHeader/>
        </w:trPr>
        <w:tc>
          <w:tcPr>
            <w:tcW w:w="2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5DD" w:rsidRPr="00757F2D" w:rsidRDefault="001275DD" w:rsidP="00A0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1275DD" w:rsidRPr="00757F2D" w:rsidRDefault="001275DD" w:rsidP="00A0127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5DD" w:rsidRPr="00757F2D" w:rsidRDefault="001275DD" w:rsidP="00A0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1275DD" w:rsidRPr="00757F2D" w:rsidRDefault="001275DD" w:rsidP="00A0127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1275DD" w:rsidRPr="00757F2D" w:rsidTr="008B387B">
        <w:tc>
          <w:tcPr>
            <w:tcW w:w="2056" w:type="pct"/>
            <w:tcBorders>
              <w:bottom w:val="single" w:sz="4" w:space="0" w:color="auto"/>
            </w:tcBorders>
            <w:shd w:val="clear" w:color="auto" w:fill="auto"/>
          </w:tcPr>
          <w:p w:rsidR="001275DD" w:rsidRPr="00757F2D" w:rsidRDefault="001275DD" w:rsidP="001275D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menganalisis,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r>
              <w:rPr>
                <w:rFonts w:ascii="Bookman Old Style" w:hAnsi="Bookman Old Style" w:cs="Tahoma"/>
                <w:sz w:val="24"/>
                <w:szCs w:val="24"/>
              </w:rPr>
              <w:t>kajian/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kerja </w:t>
            </w: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Pendidikan Agama Khonghucudan Budi Pekerti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humaniora dalam konteks pengembangan potensi diri sebagai bagian dari keluarga, sekolah, dunia kerja, warga masyarakat nasional, regional, dan internasional.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shd w:val="clear" w:color="auto" w:fill="auto"/>
          </w:tcPr>
          <w:p w:rsidR="001275DD" w:rsidRPr="00757F2D" w:rsidRDefault="001275DD" w:rsidP="00A012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Melaksanakantugasspesifikdenganmenggunakanalat, informasi, danprosedurkerja yang lazimdilakukan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memecahkanmasalahsesuaidenganbidang</w:t>
            </w:r>
            <w:r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kajian/kerjaPendidikan Agama Khonghucudan Budi Pekerti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1275DD" w:rsidRPr="00757F2D" w:rsidRDefault="001275DD" w:rsidP="00A0127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Menampilkankinerja di bawahbimbingandenganmutudankuantitas yang terukursesuaidenganstandarkompetensikerja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1275DD" w:rsidRPr="00757F2D" w:rsidRDefault="001275DD" w:rsidP="00A0127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menalar, mengolah, danmenyajisecaraefektif,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komunikatif, dansolutifdalamranahabstrakterkaitden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ganpengembangandari yang dipelajarinya di sekolah, sertamampumelaksanakantugasspesifik di bawahpengawasanlangsung.</w:t>
            </w:r>
          </w:p>
          <w:p w:rsidR="001275DD" w:rsidRPr="00757F2D" w:rsidRDefault="001275DD" w:rsidP="00A0127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Menunjukkanketerampilanmempersepsi, kesiapan, meniru, membiasakan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gerakmahir, menjadikangerakalamidalamranahkonkretterkaitdenganpengembangandari yang dipelajarinya di sekolah, sertamampumelaksanakantugasspesifik di bawahpengawasanlangsung.</w:t>
            </w:r>
          </w:p>
        </w:tc>
      </w:tr>
    </w:tbl>
    <w:p w:rsidR="00FC1B32" w:rsidRPr="00034025" w:rsidRDefault="00FC1B32" w:rsidP="00034025">
      <w:pPr>
        <w:rPr>
          <w:rFonts w:ascii="Bookman Old Style" w:hAnsi="Bookman Old Style" w:cs="Tahoma"/>
        </w:rPr>
      </w:pPr>
    </w:p>
    <w:p w:rsidR="00501E09" w:rsidRPr="00034025" w:rsidRDefault="00FC1B32" w:rsidP="00034025">
      <w:pPr>
        <w:rPr>
          <w:rFonts w:ascii="Bookman Old Style" w:hAnsi="Bookman Old Style" w:cs="Tahoma"/>
          <w:lang w:val="id-ID"/>
        </w:rPr>
      </w:pPr>
      <w:r w:rsidRPr="00034025">
        <w:rPr>
          <w:rFonts w:ascii="Bookman Old Style" w:hAnsi="Bookman Old Style" w:cs="Tahoma"/>
        </w:rPr>
        <w:t>Mata Pelajaran</w:t>
      </w:r>
      <w:r w:rsidR="00DA3238" w:rsidRPr="00034025">
        <w:rPr>
          <w:rFonts w:ascii="Bookman Old Style" w:hAnsi="Bookman Old Style" w:cs="Tahoma"/>
        </w:rPr>
        <w:t xml:space="preserve">: </w:t>
      </w:r>
      <w:r w:rsidR="00034025">
        <w:rPr>
          <w:rFonts w:ascii="Bookman Old Style" w:hAnsi="Bookman Old Style" w:cs="Tahoma"/>
        </w:rPr>
        <w:t>Pendidikan</w:t>
      </w:r>
      <w:r w:rsidR="00A61497" w:rsidRPr="00034025">
        <w:rPr>
          <w:rFonts w:ascii="Bookman Old Style" w:hAnsi="Bookman Old Style" w:cs="Tahoma"/>
          <w:lang w:val="id-ID"/>
        </w:rPr>
        <w:t>Agama Konghucu dan Budi Pekerti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1336"/>
      </w:tblGrid>
      <w:tr w:rsidR="00360AD6" w:rsidRPr="00034025" w:rsidTr="001275DD">
        <w:trPr>
          <w:tblHeader/>
        </w:trPr>
        <w:tc>
          <w:tcPr>
            <w:tcW w:w="2159" w:type="pct"/>
            <w:shd w:val="clear" w:color="auto" w:fill="auto"/>
            <w:vAlign w:val="center"/>
          </w:tcPr>
          <w:p w:rsidR="00360AD6" w:rsidRPr="00034025" w:rsidRDefault="00360AD6" w:rsidP="0003402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034025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2099" w:type="pct"/>
            <w:shd w:val="clear" w:color="auto" w:fill="auto"/>
            <w:vAlign w:val="center"/>
          </w:tcPr>
          <w:p w:rsidR="00360AD6" w:rsidRPr="00034025" w:rsidRDefault="00360AD6" w:rsidP="0003402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034025">
              <w:rPr>
                <w:rFonts w:ascii="Bookman Old Style" w:hAnsi="Bookman Old Style" w:cs="Tahoma"/>
                <w:b/>
                <w:lang w:val="en-ID"/>
              </w:rPr>
              <w:t>KOMPETENSI DASAR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60AD6" w:rsidRPr="00034025" w:rsidRDefault="00360AD6" w:rsidP="0003402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lang w:val="en-ID"/>
              </w:rPr>
            </w:pPr>
            <w:r w:rsidRPr="00034025">
              <w:rPr>
                <w:rFonts w:ascii="Bookman Old Style" w:hAnsi="Bookman Old Style" w:cs="Tahoma"/>
                <w:b/>
                <w:lang w:val="id-ID"/>
              </w:rPr>
              <w:t>WAKTU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bCs/>
                <w:kern w:val="24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3.1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emahami kebesaran dan ke Mahakuasaan  Tian atas hidup dan kehidupan di dunia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612" w:hanging="612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4.1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enceritakan pengalaman spiritual terkait kebesaran dan keMahakuasaan Tian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3.2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emahami hakikat dan sifat dasar (Watak Sejati) manusia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spacing w:after="100" w:afterAutospacing="1"/>
              <w:ind w:left="612" w:hanging="612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4.2    </w:t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enunjukkan hakikat dan sifat dasar (Watak Sejati) manusia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15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B85810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3.3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="00B85810">
              <w:rPr>
                <w:rFonts w:ascii="Bookman Old Style" w:hAnsi="Bookman Old Style" w:cs="Tahoma"/>
                <w:lang w:val="id-ID" w:eastAsia="id-ID"/>
              </w:rPr>
              <w:t xml:space="preserve">Menerapkan </w:t>
            </w:r>
            <w:r w:rsidR="00B85810" w:rsidRPr="00F460B8">
              <w:rPr>
                <w:rFonts w:ascii="Tahoma" w:hAnsi="Tahoma" w:cs="Tahoma"/>
              </w:rPr>
              <w:t>ibadah kepada Tian,</w:t>
            </w:r>
            <w:r w:rsidR="00B85810" w:rsidRPr="00F460B8">
              <w:rPr>
                <w:rFonts w:ascii="Tahoma" w:hAnsi="Tahoma" w:cs="Tahoma"/>
                <w:i/>
              </w:rPr>
              <w:t xml:space="preserve"> Di, Ren</w:t>
            </w:r>
          </w:p>
        </w:tc>
        <w:tc>
          <w:tcPr>
            <w:tcW w:w="2099" w:type="pct"/>
          </w:tcPr>
          <w:p w:rsidR="00360AD6" w:rsidRPr="00034025" w:rsidRDefault="00360AD6" w:rsidP="00B85810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4.3  </w:t>
            </w:r>
            <w:r w:rsidR="00B85810">
              <w:rPr>
                <w:rFonts w:ascii="Bookman Old Style" w:hAnsi="Bookman Old Style" w:cs="Tahoma"/>
                <w:lang w:val="id-ID" w:eastAsia="id-ID"/>
              </w:rPr>
              <w:t xml:space="preserve">Melaksanakan </w:t>
            </w:r>
            <w:r w:rsidR="00B85810" w:rsidRPr="00F460B8">
              <w:rPr>
                <w:rFonts w:ascii="Tahoma" w:hAnsi="Tahoma" w:cs="Tahoma"/>
              </w:rPr>
              <w:t>ibadah kepada Tian,</w:t>
            </w:r>
            <w:r w:rsidR="00B85810" w:rsidRPr="00F460B8">
              <w:rPr>
                <w:rFonts w:ascii="Tahoma" w:hAnsi="Tahoma" w:cs="Tahoma"/>
                <w:i/>
              </w:rPr>
              <w:t xml:space="preserve"> Di, Ren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6A7274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3.4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</w:t>
            </w:r>
            <w:r>
              <w:rPr>
                <w:rFonts w:ascii="Bookman Old Style" w:hAnsi="Bookman Old Style" w:cs="Tahoma"/>
                <w:lang w:eastAsia="id-ID"/>
              </w:rPr>
              <w:t>ganalisis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makna persembahyangan kepada Tian</w:t>
            </w:r>
          </w:p>
        </w:tc>
        <w:tc>
          <w:tcPr>
            <w:tcW w:w="2099" w:type="pct"/>
          </w:tcPr>
          <w:p w:rsidR="00360AD6" w:rsidRPr="00034025" w:rsidRDefault="00360AD6" w:rsidP="00CC12EE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4.4 </w:t>
            </w:r>
            <w:r w:rsidR="00CC12EE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 Mengaktualisasikan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persembahyangan kepada Tian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3.5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enganalisis karya dan nilai keteladanan para nabi dan raja suci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4.5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Mengembangkan karya dan nilai keteladanan para nabi dan raja suci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3.6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emahami sejarah masuknya, perkembangan, keberadaan agama Khonghucu di Indonesia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4.6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Menunjukkan sejarah masuknya, perkembangan, keberadaan agama Khonghucu di Indonesia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3.7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emahami tempat ibadah umat Khonghucu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4.7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Menunjukkan tempat ibadah umat Khonghucu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lastRenderedPageBreak/>
              <w:t>3.8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Menerapkan kerukunan, hidup toleran dan harmonis dalam lingkungan masyarakat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4.8   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Melaksanakan kerukunan, hidup toleran dan harmonis dalam lingkungan masyarakat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3.9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Memahami makna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Zhongshu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(Satya dan Tepasalira) </w:t>
            </w:r>
          </w:p>
        </w:tc>
        <w:tc>
          <w:tcPr>
            <w:tcW w:w="2099" w:type="pct"/>
          </w:tcPr>
          <w:p w:rsidR="008B387B" w:rsidRPr="00034025" w:rsidRDefault="00360AD6" w:rsidP="008B387B">
            <w:pPr>
              <w:autoSpaceDE w:val="0"/>
              <w:autoSpaceDN w:val="0"/>
              <w:adjustRightInd w:val="0"/>
              <w:spacing w:after="0" w:line="240" w:lineRule="auto"/>
              <w:ind w:left="578" w:hanging="578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4.9 Menunjukkan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sikap dan perilaku sesuai dengan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Zhongshu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(Satya dan Tepasalira)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bCs/>
                <w:kern w:val="24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.1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0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enerapkan pembinaan diri sebagai kewajiban pokok bagi setiap manusia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.1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0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Melaksanakan pembinaan diri sebagai kewajiban pokok bagi setiap manusia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15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11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emahami makna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Xiao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(</w:t>
            </w:r>
            <w:r w:rsidRPr="00034025">
              <w:rPr>
                <w:rFonts w:ascii="Bookman Old Style" w:hAnsi="Bookman Old Style" w:cs="Tahoma"/>
                <w:lang w:eastAsia="id-ID"/>
              </w:rPr>
              <w:t>peril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aku bakti) sebagai pokok kebajikan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11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Menunjukkan makna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Xiao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(</w:t>
            </w:r>
            <w:r w:rsidRPr="00034025">
              <w:rPr>
                <w:rFonts w:ascii="Bookman Old Style" w:hAnsi="Bookman Old Style" w:cs="Tahoma"/>
                <w:lang w:eastAsia="id-ID"/>
              </w:rPr>
              <w:t>peril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aku bakti) sebagai pokok kebajikan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15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CC12EE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12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color w:val="000000"/>
                <w:sz w:val="24"/>
                <w:szCs w:val="24"/>
                <w:lang w:val="id-ID" w:eastAsia="id-ID"/>
              </w:rPr>
              <w:t>Menerapkan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sikap </w:t>
            </w:r>
            <w:r w:rsidR="00CC12EE">
              <w:rPr>
                <w:rFonts w:ascii="Bookman Old Style" w:hAnsi="Bookman Old Style" w:cs="Tahoma"/>
                <w:lang w:val="id-ID" w:eastAsia="id-ID"/>
              </w:rPr>
              <w:t xml:space="preserve">sikap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teladan Nabi Kongzi sebagai Genta Rohani Tian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Tianzhi Muduo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CC12EE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12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Melaksanakan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sikap teladan Nabi Kongzi sebagai Genta Rohani Tian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Tianzhi Muduo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13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Menganalisis</w:t>
            </w:r>
            <w:r w:rsidR="00CC12EE">
              <w:rPr>
                <w:rFonts w:ascii="Bookman Old Style" w:hAnsi="Bookman Old Style" w:cs="Tahoma"/>
                <w:lang w:val="id-ID" w:eastAsia="id-ID"/>
              </w:rPr>
              <w:t xml:space="preserve">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prinsip moral yang diajarkan oleh Mengzi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13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Mengembangkanprinsip moral yang diajarkan oleh Mengzi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14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enerapkan upacara persembahyangan kepada </w:t>
            </w:r>
            <w:r w:rsidRPr="00034025">
              <w:rPr>
                <w:rFonts w:ascii="Bookman Old Style" w:hAnsi="Bookman Old Style" w:cs="Tahoma"/>
                <w:lang w:eastAsia="id-ID"/>
              </w:rPr>
              <w:t>para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suci (</w:t>
            </w:r>
            <w:r w:rsidRPr="00034025">
              <w:rPr>
                <w:rFonts w:ascii="Bookman Old Style" w:hAnsi="Bookman Old Style" w:cs="Tahoma"/>
                <w:i/>
                <w:lang w:eastAsia="id-ID"/>
              </w:rPr>
              <w:t>Shenming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14</w:t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empraktikkan upacara  persembahyangan kepada </w:t>
            </w:r>
            <w:r w:rsidRPr="00034025">
              <w:rPr>
                <w:rFonts w:ascii="Bookman Old Style" w:hAnsi="Bookman Old Style" w:cs="Tahoma"/>
                <w:lang w:eastAsia="id-ID"/>
              </w:rPr>
              <w:t>para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suci (</w:t>
            </w:r>
            <w:r w:rsidRPr="00034025">
              <w:rPr>
                <w:rFonts w:ascii="Bookman Old Style" w:hAnsi="Bookman Old Style" w:cs="Tahoma"/>
                <w:i/>
                <w:lang w:eastAsia="id-ID"/>
              </w:rPr>
              <w:t>Shenming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15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enerapkan  makna Cinta kasih</w:t>
            </w:r>
            <w:r w:rsidRPr="00034025">
              <w:rPr>
                <w:rFonts w:ascii="Bookman Old Style" w:hAnsi="Bookman Old Style" w:cs="Tahoma"/>
                <w:lang w:eastAsia="id-ID"/>
              </w:rPr>
              <w:t xml:space="preserve"> (</w:t>
            </w:r>
            <w:r w:rsidRPr="00034025">
              <w:rPr>
                <w:rFonts w:ascii="Bookman Old Style" w:hAnsi="Bookman Old Style" w:cs="Tahoma"/>
                <w:i/>
                <w:lang w:eastAsia="id-ID"/>
              </w:rPr>
              <w:t>Ren</w:t>
            </w:r>
            <w:r w:rsidRPr="00034025">
              <w:rPr>
                <w:rFonts w:ascii="Bookman Old Style" w:hAnsi="Bookman Old Style" w:cs="Tahoma"/>
                <w:lang w:eastAsia="id-ID"/>
              </w:rPr>
              <w:t>)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sebagai hakikat kemanusiaan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15</w:t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empraktikkan  perilaku yang berlandaskan  Cinta kasih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(Ren)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sebagai hakikat kemanusiaan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67" w:hanging="567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16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Menganalisis makna kebenaran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Yi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 sebagai jalan bagi manusia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i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16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Mengintegrasikan makna kebenaran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Yi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 sebagai jalan bagi manusia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17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Memhami makna kesusilaan (</w:t>
            </w:r>
            <w:r w:rsidRPr="00034025">
              <w:rPr>
                <w:rFonts w:ascii="Bookman Old Style" w:hAnsi="Bookman Old Style" w:cs="Tahoma"/>
                <w:i/>
                <w:color w:val="000000"/>
                <w:lang w:val="id-ID" w:eastAsia="id-ID"/>
              </w:rPr>
              <w:t>Li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) sebagai potensi bagi manusia</w:t>
            </w:r>
          </w:p>
        </w:tc>
        <w:tc>
          <w:tcPr>
            <w:tcW w:w="209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17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 Menunjukkan perilaku yang berlandaskan kesusilaan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3.18 Menerapkan Kebijaksanaan (Zhi) sebagai potensi 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18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Melakukan  perilaku yang berlandaskan kebijaksanaan</w:t>
            </w:r>
          </w:p>
          <w:p w:rsidR="00360AD6" w:rsidRPr="00034025" w:rsidRDefault="00360AD6" w:rsidP="00034025">
            <w:pPr>
              <w:pStyle w:val="ListParagraph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lastRenderedPageBreak/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bCs/>
                <w:kern w:val="24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lastRenderedPageBreak/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.1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9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eastAsia="id-ID"/>
              </w:rPr>
              <w:t>M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emahami pentingnya pendidikan dan belajar sepanjang hayat dalam menggenapi kodrat suci kemanusiaan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19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Menerapkan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cara belajar sepanjang hayat dalam menggenapi kondrat suci kemanusiaan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rPr>
          <w:trHeight w:val="74"/>
        </w:trPr>
        <w:tc>
          <w:tcPr>
            <w:tcW w:w="2159" w:type="pct"/>
          </w:tcPr>
          <w:p w:rsidR="00360AD6" w:rsidRPr="00034025" w:rsidRDefault="00360AD6" w:rsidP="00034025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20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Memahami sikap dan karakter seorang yang berbudi luhur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Junzi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  <w:p w:rsidR="00360AD6" w:rsidRPr="00034025" w:rsidRDefault="00360AD6" w:rsidP="00034025">
            <w:pPr>
              <w:tabs>
                <w:tab w:val="left" w:pos="601"/>
              </w:tabs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</w:p>
        </w:tc>
        <w:tc>
          <w:tcPr>
            <w:tcW w:w="209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20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Menunjukkan  sikap dan karakter seorang yang berbudi luhur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Junzi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 dalam keseharian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21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Menerapkan sikap hidup sesuai dengan Tengah Sempurna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Zhongyong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21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Melaksanakan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sikap hidup sesuai dengan Tengah Sempurna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Zhongyong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15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22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Menganalisis bagian dan isi dari masing-masing  kitab yang pokok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Sishu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 dan kitab yang mendasari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Wujing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22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Mengintegrasikan pemahaman tentang makna ayat suci yang terdapat dalam kitab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Sishu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dan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Wujing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23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Mengevaluasi tradisi dan budaya yang biasa dilakukan oleh umat Khonghucu dalam merayakan Tahun Baru Kongzili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Xinnian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8B387B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23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Mengelola tradisi dan budaya yang biasa dilakukan oleh umat Khonghucu dalam merayakan Tahun Baru Kongzili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Xinnian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9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AD61C4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24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>
              <w:rPr>
                <w:rFonts w:ascii="Bookman Old Style" w:hAnsi="Bookman Old Style" w:cs="Tahoma"/>
                <w:color w:val="000000"/>
                <w:sz w:val="20"/>
                <w:szCs w:val="20"/>
                <w:lang w:eastAsia="id-ID"/>
              </w:rPr>
              <w:t>Menganalisis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unsur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Yin Yang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sebagai Jalan Suci Tian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Tian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val="id-ID"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24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Melaksanakan unsur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Yin Yang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 sebagai Jalan Suci Tian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Tian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25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Menerapkan ajaran Nabi Kongzi tentang Jalan Suci Manusia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Ren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25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Melaksanakan ajaran Nabi Kongzi tentang Jalan Suci Manusia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Ren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26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Mengevaluasi ajaran Nabi Kongzi tentang Jalan Suci Bumi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Di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26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Mengintegrasikan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ajaran Nabi Kongzi tentang Jalan Suci Bumi (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>Di Dao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  <w:tr w:rsidR="00360AD6" w:rsidRPr="00034025" w:rsidTr="001275DD">
        <w:tc>
          <w:tcPr>
            <w:tcW w:w="215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3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27</w:t>
            </w:r>
            <w:r w:rsidRPr="00034025">
              <w:rPr>
                <w:rFonts w:ascii="Bookman Old Style" w:hAnsi="Bookman Old Style" w:cs="Tahoma"/>
                <w:color w:val="000000"/>
                <w:sz w:val="20"/>
                <w:szCs w:val="20"/>
                <w:lang w:val="id-ID" w:eastAsia="id-ID"/>
              </w:rPr>
              <w:tab/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Menganalisis konsep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Sancai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(Tian,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 Di, Ren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2099" w:type="pct"/>
          </w:tcPr>
          <w:p w:rsidR="00360AD6" w:rsidRPr="00034025" w:rsidRDefault="00360AD6" w:rsidP="00034025">
            <w:pPr>
              <w:autoSpaceDE w:val="0"/>
              <w:autoSpaceDN w:val="0"/>
              <w:adjustRightInd w:val="0"/>
              <w:ind w:left="576" w:hanging="576"/>
              <w:rPr>
                <w:rFonts w:ascii="Bookman Old Style" w:hAnsi="Bookman Old Style" w:cs="Tahoma"/>
                <w:strike/>
                <w:color w:val="000000"/>
                <w:lang w:eastAsia="id-ID"/>
              </w:rPr>
            </w:pP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4</w:t>
            </w:r>
            <w:r w:rsidRPr="00034025">
              <w:rPr>
                <w:rFonts w:ascii="Bookman Old Style" w:hAnsi="Bookman Old Style" w:cs="Tahoma"/>
                <w:color w:val="000000"/>
                <w:lang w:val="id-ID" w:eastAsia="id-ID"/>
              </w:rPr>
              <w:t>.</w:t>
            </w:r>
            <w:r w:rsidRPr="00034025">
              <w:rPr>
                <w:rFonts w:ascii="Bookman Old Style" w:hAnsi="Bookman Old Style" w:cs="Tahoma"/>
                <w:color w:val="000000"/>
                <w:lang w:eastAsia="id-ID"/>
              </w:rPr>
              <w:t>27</w:t>
            </w:r>
            <w:r w:rsidR="00D71B61">
              <w:rPr>
                <w:rFonts w:ascii="Bookman Old Style" w:hAnsi="Bookman Old Style" w:cs="Tahoma"/>
                <w:color w:val="000000"/>
                <w:lang w:val="id-ID" w:eastAsia="id-ID"/>
              </w:rPr>
              <w:t xml:space="preserve">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 xml:space="preserve">Mengembangkan konsep 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Sancai 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(Tian,</w:t>
            </w:r>
            <w:r w:rsidRPr="00034025">
              <w:rPr>
                <w:rFonts w:ascii="Bookman Old Style" w:hAnsi="Bookman Old Style" w:cs="Tahoma"/>
                <w:i/>
                <w:lang w:val="id-ID" w:eastAsia="id-ID"/>
              </w:rPr>
              <w:t xml:space="preserve"> Di, Ren</w:t>
            </w:r>
            <w:r w:rsidRPr="00034025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360AD6" w:rsidRPr="00034025" w:rsidRDefault="00360AD6" w:rsidP="00034025">
            <w:pPr>
              <w:spacing w:before="60"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34025">
              <w:rPr>
                <w:rFonts w:ascii="Bookman Old Style" w:hAnsi="Bookman Old Style" w:cs="Tahoma"/>
                <w:lang w:val="id-ID"/>
              </w:rPr>
              <w:t>12 JP</w:t>
            </w:r>
          </w:p>
        </w:tc>
      </w:tr>
    </w:tbl>
    <w:p w:rsidR="00501E09" w:rsidRPr="00034025" w:rsidRDefault="00501E09" w:rsidP="00034025">
      <w:pPr>
        <w:spacing w:before="0" w:after="0" w:line="240" w:lineRule="auto"/>
        <w:rPr>
          <w:rFonts w:ascii="Bookman Old Style" w:hAnsi="Bookman Old Style" w:cs="Tahoma"/>
          <w:lang w:val="en-ID"/>
        </w:rPr>
      </w:pPr>
    </w:p>
    <w:p w:rsidR="008B387B" w:rsidRDefault="00034025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:rsidR="008B387B" w:rsidRDefault="008B387B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lastRenderedPageBreak/>
        <w:t>LEMBAR PENGESAHAN</w:t>
      </w:r>
    </w:p>
    <w:p w:rsidR="008B387B" w:rsidRDefault="008B387B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</w:p>
    <w:p w:rsidR="008B387B" w:rsidRDefault="008B387B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</w:p>
    <w:p w:rsidR="00FC1B32" w:rsidRPr="00950AEC" w:rsidRDefault="00034025" w:rsidP="0092704C">
      <w:pPr>
        <w:spacing w:before="0" w:after="200" w:line="276" w:lineRule="auto"/>
        <w:ind w:left="5040" w:firstLine="720"/>
        <w:rPr>
          <w:rFonts w:ascii="Bookman Old Style" w:hAnsi="Bookman Old Style" w:cs="Tahoma"/>
          <w:b/>
        </w:rPr>
      </w:pPr>
      <w:r w:rsidRPr="00950AEC">
        <w:rPr>
          <w:rFonts w:ascii="Bookman Old Style" w:hAnsi="Bookman Old Style" w:cs="Tahoma"/>
          <w:b/>
        </w:rPr>
        <w:t>Jakarta, 24 Maret 2017</w:t>
      </w:r>
    </w:p>
    <w:p w:rsidR="0092704C" w:rsidRDefault="0092704C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  <w:r w:rsidRPr="00034025">
        <w:rPr>
          <w:rFonts w:ascii="Bookman Old Style" w:hAnsi="Bookman Old Style" w:cs="Tahoma"/>
        </w:rPr>
        <w:t>Mengetahui</w:t>
      </w: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  <w:r w:rsidRPr="00034025">
        <w:rPr>
          <w:rFonts w:ascii="Bookman Old Style" w:hAnsi="Bookman Old Style" w:cs="Tahoma"/>
        </w:rPr>
        <w:t>Fasilitator</w:t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</w:r>
      <w:r w:rsidRPr="00034025">
        <w:rPr>
          <w:rFonts w:ascii="Bookman Old Style" w:hAnsi="Bookman Old Style" w:cs="Tahoma"/>
        </w:rPr>
        <w:tab/>
        <w:t>Penyusun</w:t>
      </w: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</w:p>
    <w:p w:rsidR="00034025" w:rsidRPr="0092704C" w:rsidRDefault="00034025" w:rsidP="00034025">
      <w:pPr>
        <w:spacing w:before="0" w:after="200" w:line="276" w:lineRule="auto"/>
        <w:rPr>
          <w:rFonts w:ascii="Bookman Old Style" w:hAnsi="Bookman Old Style" w:cs="Tahoma"/>
          <w:lang w:val="id-ID"/>
        </w:rPr>
      </w:pPr>
      <w:r w:rsidRPr="005A6633">
        <w:rPr>
          <w:rFonts w:ascii="Bookman Old Style" w:hAnsi="Bookman Old Style" w:cs="Tahoma"/>
          <w:b/>
        </w:rPr>
        <w:t>Drs. Nanang Yusuf, M.Si</w:t>
      </w:r>
      <w:r w:rsidRPr="005A6633">
        <w:rPr>
          <w:rFonts w:ascii="Bookman Old Style" w:hAnsi="Bookman Old Style" w:cs="Tahoma"/>
          <w:b/>
        </w:rPr>
        <w:tab/>
        <w:t>OminSumitra, S.</w:t>
      </w:r>
      <w:r w:rsidRPr="00034025">
        <w:rPr>
          <w:rFonts w:ascii="Bookman Old Style" w:hAnsi="Bookman Old Style" w:cs="Tahoma"/>
        </w:rPr>
        <w:t>P</w:t>
      </w:r>
      <w:r w:rsidRPr="00034025">
        <w:rPr>
          <w:rFonts w:ascii="Bookman Old Style" w:hAnsi="Bookman Old Style" w:cs="Tahoma"/>
        </w:rPr>
        <w:tab/>
      </w:r>
      <w:r w:rsidRPr="004A5715">
        <w:rPr>
          <w:rFonts w:ascii="Bookman Old Style" w:hAnsi="Bookman Old Style" w:cs="Tahoma"/>
          <w:b/>
        </w:rPr>
        <w:t>Js. Gunadi, S.Pd.</w:t>
      </w:r>
      <w:r w:rsidR="0092704C" w:rsidRPr="004A5715">
        <w:rPr>
          <w:rFonts w:ascii="Bookman Old Style" w:hAnsi="Bookman Old Style" w:cs="Tahoma"/>
          <w:b/>
          <w:lang w:val="id-ID"/>
        </w:rPr>
        <w:t xml:space="preserve">  </w:t>
      </w:r>
      <w:r w:rsidR="004A5715">
        <w:rPr>
          <w:rFonts w:ascii="Bookman Old Style" w:hAnsi="Bookman Old Style" w:cs="Tahoma"/>
          <w:b/>
          <w:lang w:val="id-ID"/>
        </w:rPr>
        <w:t>A</w:t>
      </w:r>
      <w:r w:rsidR="0092704C" w:rsidRPr="004A5715">
        <w:rPr>
          <w:rFonts w:ascii="Bookman Old Style" w:hAnsi="Bookman Old Style" w:cs="Tahoma"/>
          <w:b/>
          <w:lang w:val="id-ID"/>
        </w:rPr>
        <w:t>rie Barto,SH</w:t>
      </w:r>
      <w:r w:rsidR="0092704C">
        <w:rPr>
          <w:rFonts w:ascii="Bookman Old Style" w:hAnsi="Bookman Old Style" w:cs="Tahoma"/>
          <w:lang w:val="id-ID"/>
        </w:rPr>
        <w:t>.</w:t>
      </w: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</w:p>
    <w:p w:rsidR="00034025" w:rsidRPr="00034025" w:rsidRDefault="00034025" w:rsidP="00034025">
      <w:pPr>
        <w:spacing w:before="0" w:after="200" w:line="276" w:lineRule="auto"/>
        <w:rPr>
          <w:rFonts w:ascii="Bookman Old Style" w:hAnsi="Bookman Old Style" w:cs="Tahoma"/>
        </w:rPr>
      </w:pPr>
      <w:bookmarkStart w:id="0" w:name="_GoBack"/>
      <w:bookmarkEnd w:id="0"/>
    </w:p>
    <w:sectPr w:rsidR="00034025" w:rsidRPr="00034025" w:rsidSect="001C48AB">
      <w:pgSz w:w="11907" w:h="16839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38752F"/>
    <w:multiLevelType w:val="hybridMultilevel"/>
    <w:tmpl w:val="2EDADA8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3E2159"/>
    <w:rsid w:val="00004CD7"/>
    <w:rsid w:val="000323EC"/>
    <w:rsid w:val="00034025"/>
    <w:rsid w:val="00047CA6"/>
    <w:rsid w:val="00055570"/>
    <w:rsid w:val="00080369"/>
    <w:rsid w:val="0009732D"/>
    <w:rsid w:val="000D78A2"/>
    <w:rsid w:val="00113862"/>
    <w:rsid w:val="001275DD"/>
    <w:rsid w:val="00153BE6"/>
    <w:rsid w:val="00182A2B"/>
    <w:rsid w:val="00196347"/>
    <w:rsid w:val="001C1C96"/>
    <w:rsid w:val="001C48AB"/>
    <w:rsid w:val="001D365F"/>
    <w:rsid w:val="001E36DA"/>
    <w:rsid w:val="00216996"/>
    <w:rsid w:val="00251A12"/>
    <w:rsid w:val="0025510A"/>
    <w:rsid w:val="00276F49"/>
    <w:rsid w:val="00281C63"/>
    <w:rsid w:val="00291BE2"/>
    <w:rsid w:val="00360AD6"/>
    <w:rsid w:val="00371838"/>
    <w:rsid w:val="003968B2"/>
    <w:rsid w:val="003E2159"/>
    <w:rsid w:val="003E7FF9"/>
    <w:rsid w:val="004A5715"/>
    <w:rsid w:val="004C0CA2"/>
    <w:rsid w:val="004C69C7"/>
    <w:rsid w:val="004D2282"/>
    <w:rsid w:val="00501E09"/>
    <w:rsid w:val="00527BF3"/>
    <w:rsid w:val="005A6633"/>
    <w:rsid w:val="006112C7"/>
    <w:rsid w:val="00620E61"/>
    <w:rsid w:val="00636C50"/>
    <w:rsid w:val="00655762"/>
    <w:rsid w:val="00671295"/>
    <w:rsid w:val="006A2607"/>
    <w:rsid w:val="006A7274"/>
    <w:rsid w:val="006C3990"/>
    <w:rsid w:val="00740A4B"/>
    <w:rsid w:val="007508B6"/>
    <w:rsid w:val="007701FB"/>
    <w:rsid w:val="007B4B10"/>
    <w:rsid w:val="007F4528"/>
    <w:rsid w:val="007F6CF5"/>
    <w:rsid w:val="00812F23"/>
    <w:rsid w:val="0081657B"/>
    <w:rsid w:val="008411DC"/>
    <w:rsid w:val="008650B2"/>
    <w:rsid w:val="00866102"/>
    <w:rsid w:val="0087018B"/>
    <w:rsid w:val="008B387B"/>
    <w:rsid w:val="008C7296"/>
    <w:rsid w:val="008E10EE"/>
    <w:rsid w:val="0092704C"/>
    <w:rsid w:val="00950AEC"/>
    <w:rsid w:val="00955138"/>
    <w:rsid w:val="009571A3"/>
    <w:rsid w:val="00974A13"/>
    <w:rsid w:val="009A1B4A"/>
    <w:rsid w:val="009B6AEE"/>
    <w:rsid w:val="009D25D8"/>
    <w:rsid w:val="009D40B1"/>
    <w:rsid w:val="009F7934"/>
    <w:rsid w:val="009F7950"/>
    <w:rsid w:val="00A233DC"/>
    <w:rsid w:val="00A23D89"/>
    <w:rsid w:val="00A43016"/>
    <w:rsid w:val="00A61497"/>
    <w:rsid w:val="00A61A5C"/>
    <w:rsid w:val="00A759D4"/>
    <w:rsid w:val="00A944B3"/>
    <w:rsid w:val="00AC7C06"/>
    <w:rsid w:val="00AD61C4"/>
    <w:rsid w:val="00AE7120"/>
    <w:rsid w:val="00B85810"/>
    <w:rsid w:val="00BB7A7D"/>
    <w:rsid w:val="00C93884"/>
    <w:rsid w:val="00C9559F"/>
    <w:rsid w:val="00CC12EE"/>
    <w:rsid w:val="00CC60C9"/>
    <w:rsid w:val="00CF7252"/>
    <w:rsid w:val="00D71B61"/>
    <w:rsid w:val="00DA1790"/>
    <w:rsid w:val="00DA3238"/>
    <w:rsid w:val="00DA4DE0"/>
    <w:rsid w:val="00DE3D99"/>
    <w:rsid w:val="00DE7272"/>
    <w:rsid w:val="00DF0291"/>
    <w:rsid w:val="00E16EC0"/>
    <w:rsid w:val="00E431FD"/>
    <w:rsid w:val="00E75EB5"/>
    <w:rsid w:val="00E929E1"/>
    <w:rsid w:val="00F95032"/>
    <w:rsid w:val="00FC1B32"/>
    <w:rsid w:val="00FC2917"/>
    <w:rsid w:val="00FD4908"/>
    <w:rsid w:val="00FD51F0"/>
    <w:rsid w:val="00FE44FB"/>
    <w:rsid w:val="00FE54F4"/>
    <w:rsid w:val="00FE56F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431F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2B18-8239-495A-B252-49732B2C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win7</cp:lastModifiedBy>
  <cp:revision>7</cp:revision>
  <dcterms:created xsi:type="dcterms:W3CDTF">2017-03-25T02:08:00Z</dcterms:created>
  <dcterms:modified xsi:type="dcterms:W3CDTF">2017-03-25T02:49:00Z</dcterms:modified>
</cp:coreProperties>
</file>